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27" w:rsidRPr="00EE25A9" w:rsidRDefault="00064527" w:rsidP="00064527">
      <w:pPr>
        <w:ind w:left="-720"/>
        <w:rPr>
          <w:lang w:val="en-GB"/>
        </w:rPr>
      </w:pPr>
      <w:r w:rsidRPr="00EE25A9">
        <w:rPr>
          <w:noProof/>
        </w:rPr>
        <w:drawing>
          <wp:inline distT="0" distB="0" distL="0" distR="0">
            <wp:extent cx="6635755" cy="1143000"/>
            <wp:effectExtent l="1905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459" cy="114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jc w:val="center"/>
        <w:rPr>
          <w:b/>
          <w:sz w:val="56"/>
          <w:szCs w:val="56"/>
          <w:lang w:val="en-GB"/>
        </w:rPr>
      </w:pPr>
      <w:r w:rsidRPr="00EE25A9">
        <w:rPr>
          <w:b/>
          <w:sz w:val="56"/>
          <w:szCs w:val="56"/>
          <w:lang w:val="en-GB"/>
        </w:rPr>
        <w:t>POLITICAL PUBLIC OPINION</w:t>
      </w: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jc w:val="center"/>
        <w:rPr>
          <w:b/>
          <w:sz w:val="36"/>
          <w:szCs w:val="36"/>
          <w:lang w:val="en-GB"/>
        </w:rPr>
      </w:pPr>
      <w:r w:rsidRPr="00EE25A9">
        <w:rPr>
          <w:b/>
          <w:sz w:val="36"/>
          <w:szCs w:val="36"/>
          <w:lang w:val="en-GB"/>
        </w:rPr>
        <w:t>July, 2012</w:t>
      </w: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sz w:val="28"/>
          <w:szCs w:val="28"/>
          <w:lang w:val="en-GB"/>
        </w:rPr>
      </w:pPr>
      <w:r w:rsidRPr="00EE25A9">
        <w:rPr>
          <w:b/>
          <w:sz w:val="28"/>
          <w:szCs w:val="28"/>
          <w:lang w:val="en-GB"/>
        </w:rPr>
        <w:t xml:space="preserve">1.  </w:t>
      </w:r>
      <w:r w:rsidRPr="00EE25A9">
        <w:rPr>
          <w:b/>
          <w:caps/>
          <w:sz w:val="28"/>
          <w:szCs w:val="28"/>
          <w:lang w:val="en-GB"/>
        </w:rPr>
        <w:t>MONTENEGRO IS MOVING:</w:t>
      </w:r>
      <w:r w:rsidRPr="00EE25A9">
        <w:rPr>
          <w:b/>
          <w:sz w:val="28"/>
          <w:szCs w:val="28"/>
          <w:lang w:val="en-GB"/>
        </w:rPr>
        <w:t xml:space="preserve"> - %</w:t>
      </w:r>
    </w:p>
    <w:p w:rsidR="00064527" w:rsidRPr="00EE25A9" w:rsidRDefault="00064527" w:rsidP="00064527">
      <w:pPr>
        <w:rPr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  <w:r w:rsidRPr="00EE25A9">
        <w:rPr>
          <w:b/>
          <w:noProof/>
        </w:rPr>
        <w:drawing>
          <wp:inline distT="0" distB="0" distL="0" distR="0">
            <wp:extent cx="5400675" cy="2190750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sz w:val="28"/>
          <w:szCs w:val="28"/>
          <w:lang w:val="en-GB"/>
        </w:rPr>
      </w:pPr>
      <w:r w:rsidRPr="00EE25A9">
        <w:rPr>
          <w:b/>
          <w:sz w:val="28"/>
          <w:szCs w:val="28"/>
          <w:lang w:val="en-GB"/>
        </w:rPr>
        <w:t>1.1 MONTENEGRO IS MOVING  – TREND %</w:t>
      </w:r>
    </w:p>
    <w:p w:rsidR="00064527" w:rsidRPr="00EE25A9" w:rsidRDefault="00064527" w:rsidP="00064527">
      <w:pPr>
        <w:rPr>
          <w:lang w:val="en-GB"/>
        </w:rPr>
      </w:pPr>
      <w:r w:rsidRPr="00EE25A9">
        <w:rPr>
          <w:noProof/>
        </w:rPr>
        <w:drawing>
          <wp:inline distT="0" distB="0" distL="0" distR="0">
            <wp:extent cx="5610225" cy="2743200"/>
            <wp:effectExtent l="19050" t="0" r="9525" b="0"/>
            <wp:docPr id="1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4527" w:rsidRPr="00EE25A9" w:rsidRDefault="00064527" w:rsidP="00064527">
      <w:pPr>
        <w:rPr>
          <w:lang w:val="en-GB"/>
        </w:rPr>
      </w:pPr>
    </w:p>
    <w:p w:rsidR="00064527" w:rsidRPr="00EE25A9" w:rsidRDefault="00064527" w:rsidP="00064527">
      <w:pPr>
        <w:rPr>
          <w:lang w:val="en-GB"/>
        </w:rPr>
      </w:pPr>
    </w:p>
    <w:p w:rsidR="00064527" w:rsidRPr="00EE25A9" w:rsidRDefault="00064527" w:rsidP="00064527">
      <w:pPr>
        <w:rPr>
          <w:lang w:val="en-GB"/>
        </w:rPr>
      </w:pPr>
    </w:p>
    <w:p w:rsidR="00064527" w:rsidRPr="00EE25A9" w:rsidRDefault="00064527" w:rsidP="00064527">
      <w:pPr>
        <w:rPr>
          <w:b/>
          <w:caps/>
          <w:lang w:val="en-GB"/>
        </w:rPr>
      </w:pPr>
    </w:p>
    <w:p w:rsidR="001D7F85" w:rsidRPr="00EE25A9" w:rsidRDefault="00064527" w:rsidP="00064527">
      <w:pPr>
        <w:rPr>
          <w:b/>
          <w:caps/>
          <w:sz w:val="28"/>
          <w:szCs w:val="28"/>
          <w:lang w:val="en-GB"/>
        </w:rPr>
      </w:pPr>
      <w:r w:rsidRPr="00EE25A9">
        <w:rPr>
          <w:b/>
          <w:caps/>
          <w:sz w:val="28"/>
          <w:szCs w:val="28"/>
          <w:lang w:val="en-GB"/>
        </w:rPr>
        <w:lastRenderedPageBreak/>
        <w:t xml:space="preserve">2. </w:t>
      </w:r>
      <w:r w:rsidR="001D7F85" w:rsidRPr="00EE25A9">
        <w:rPr>
          <w:b/>
          <w:caps/>
          <w:sz w:val="28"/>
          <w:szCs w:val="28"/>
          <w:lang w:val="en-GB"/>
        </w:rPr>
        <w:t>SUPPORT TO THE EU</w:t>
      </w:r>
      <w:r w:rsidRPr="00EE25A9">
        <w:rPr>
          <w:b/>
          <w:caps/>
          <w:sz w:val="28"/>
          <w:szCs w:val="28"/>
          <w:lang w:val="en-GB"/>
        </w:rPr>
        <w:t xml:space="preserve"> %</w:t>
      </w:r>
    </w:p>
    <w:p w:rsidR="00064527" w:rsidRPr="00EE25A9" w:rsidRDefault="001D7F85" w:rsidP="00064527">
      <w:pPr>
        <w:rPr>
          <w:b/>
          <w:sz w:val="28"/>
          <w:lang w:val="en-GB"/>
        </w:rPr>
      </w:pPr>
      <w:r w:rsidRPr="00EE25A9">
        <w:rPr>
          <w:b/>
          <w:noProof/>
          <w:sz w:val="28"/>
        </w:rPr>
        <w:drawing>
          <wp:inline distT="0" distB="0" distL="0" distR="0">
            <wp:extent cx="4419600" cy="3238500"/>
            <wp:effectExtent l="19050" t="0" r="19050" b="0"/>
            <wp:docPr id="15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7F85" w:rsidRPr="00EE25A9" w:rsidRDefault="001D7F85" w:rsidP="00064527">
      <w:pPr>
        <w:rPr>
          <w:b/>
          <w:sz w:val="28"/>
          <w:lang w:val="en-GB"/>
        </w:rPr>
      </w:pPr>
    </w:p>
    <w:p w:rsidR="001D7F85" w:rsidRPr="00EE25A9" w:rsidRDefault="00064527" w:rsidP="00064527">
      <w:pPr>
        <w:rPr>
          <w:b/>
          <w:sz w:val="28"/>
          <w:szCs w:val="28"/>
          <w:lang w:val="en-GB"/>
        </w:rPr>
      </w:pPr>
      <w:r w:rsidRPr="00EE25A9">
        <w:rPr>
          <w:b/>
          <w:sz w:val="28"/>
          <w:szCs w:val="28"/>
          <w:lang w:val="en-GB"/>
        </w:rPr>
        <w:t>2.1</w:t>
      </w:r>
      <w:r w:rsidR="001D7F85" w:rsidRPr="00EE25A9">
        <w:rPr>
          <w:b/>
          <w:sz w:val="28"/>
          <w:szCs w:val="28"/>
          <w:lang w:val="en-GB"/>
        </w:rPr>
        <w:t>.</w:t>
      </w:r>
      <w:r w:rsidRPr="00EE25A9">
        <w:rPr>
          <w:b/>
          <w:sz w:val="28"/>
          <w:szCs w:val="28"/>
          <w:lang w:val="en-GB"/>
        </w:rPr>
        <w:t xml:space="preserve"> </w:t>
      </w:r>
      <w:r w:rsidR="001D7F85" w:rsidRPr="00EE25A9">
        <w:rPr>
          <w:b/>
          <w:sz w:val="28"/>
          <w:szCs w:val="28"/>
          <w:lang w:val="en-GB"/>
        </w:rPr>
        <w:t xml:space="preserve">THE </w:t>
      </w:r>
      <w:r w:rsidRPr="00EE25A9">
        <w:rPr>
          <w:b/>
          <w:sz w:val="28"/>
          <w:szCs w:val="28"/>
          <w:lang w:val="en-GB"/>
        </w:rPr>
        <w:t>EU – TREND %</w:t>
      </w:r>
    </w:p>
    <w:p w:rsidR="00064527" w:rsidRPr="00EE25A9" w:rsidRDefault="001D7F85" w:rsidP="00064527">
      <w:pPr>
        <w:rPr>
          <w:b/>
          <w:lang w:val="en-GB"/>
        </w:rPr>
      </w:pPr>
      <w:r w:rsidRPr="00EE25A9">
        <w:rPr>
          <w:b/>
          <w:noProof/>
        </w:rPr>
        <w:drawing>
          <wp:inline distT="0" distB="0" distL="0" distR="0">
            <wp:extent cx="5610224" cy="2571750"/>
            <wp:effectExtent l="19050" t="0" r="9526" b="0"/>
            <wp:docPr id="1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sz w:val="28"/>
          <w:szCs w:val="28"/>
          <w:lang w:val="en-GB"/>
        </w:rPr>
      </w:pPr>
      <w:r w:rsidRPr="00EE25A9">
        <w:rPr>
          <w:b/>
          <w:sz w:val="28"/>
          <w:szCs w:val="28"/>
          <w:lang w:val="en-GB"/>
        </w:rPr>
        <w:lastRenderedPageBreak/>
        <w:t xml:space="preserve">3. </w:t>
      </w:r>
      <w:r w:rsidR="001D7F85" w:rsidRPr="00EE25A9">
        <w:rPr>
          <w:b/>
          <w:sz w:val="28"/>
          <w:szCs w:val="28"/>
          <w:lang w:val="en-GB"/>
        </w:rPr>
        <w:t xml:space="preserve">THE </w:t>
      </w:r>
      <w:r w:rsidRPr="00EE25A9">
        <w:rPr>
          <w:b/>
          <w:sz w:val="28"/>
          <w:szCs w:val="28"/>
          <w:lang w:val="en-GB"/>
        </w:rPr>
        <w:t>NATO %</w:t>
      </w:r>
    </w:p>
    <w:p w:rsidR="00064527" w:rsidRPr="00EE25A9" w:rsidRDefault="001D7F85" w:rsidP="00064527">
      <w:pPr>
        <w:rPr>
          <w:b/>
          <w:lang w:val="en-GB"/>
        </w:rPr>
      </w:pPr>
      <w:r w:rsidRPr="00EE25A9">
        <w:rPr>
          <w:b/>
          <w:noProof/>
        </w:rPr>
        <w:drawing>
          <wp:inline distT="0" distB="0" distL="0" distR="0">
            <wp:extent cx="3533776" cy="2447926"/>
            <wp:effectExtent l="19050" t="0" r="28574" b="9524"/>
            <wp:docPr id="20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sz w:val="28"/>
          <w:szCs w:val="28"/>
          <w:lang w:val="en-GB"/>
        </w:rPr>
      </w:pPr>
      <w:r w:rsidRPr="00EE25A9">
        <w:rPr>
          <w:b/>
          <w:sz w:val="28"/>
          <w:szCs w:val="28"/>
          <w:lang w:val="en-GB"/>
        </w:rPr>
        <w:t>3.1</w:t>
      </w:r>
      <w:r w:rsidR="001D7F85" w:rsidRPr="00EE25A9">
        <w:rPr>
          <w:b/>
          <w:sz w:val="28"/>
          <w:szCs w:val="28"/>
          <w:lang w:val="en-GB"/>
        </w:rPr>
        <w:t>. THE</w:t>
      </w:r>
      <w:r w:rsidRPr="00EE25A9">
        <w:rPr>
          <w:b/>
          <w:sz w:val="28"/>
          <w:szCs w:val="28"/>
          <w:lang w:val="en-GB"/>
        </w:rPr>
        <w:t xml:space="preserve"> NATO  -</w:t>
      </w:r>
      <w:r w:rsidR="00DA4184" w:rsidRPr="00EE25A9">
        <w:rPr>
          <w:b/>
          <w:sz w:val="28"/>
          <w:szCs w:val="28"/>
          <w:lang w:val="en-GB"/>
        </w:rPr>
        <w:t xml:space="preserve"> </w:t>
      </w:r>
      <w:r w:rsidRPr="00EE25A9">
        <w:rPr>
          <w:b/>
          <w:sz w:val="28"/>
          <w:szCs w:val="28"/>
          <w:lang w:val="en-GB"/>
        </w:rPr>
        <w:t>TREND %</w:t>
      </w:r>
    </w:p>
    <w:p w:rsidR="00064527" w:rsidRPr="00EE25A9" w:rsidRDefault="00DA4184" w:rsidP="00064527">
      <w:pPr>
        <w:rPr>
          <w:b/>
          <w:lang w:val="en-GB"/>
        </w:rPr>
      </w:pPr>
      <w:r w:rsidRPr="00EE25A9">
        <w:rPr>
          <w:b/>
          <w:noProof/>
        </w:rPr>
        <w:drawing>
          <wp:inline distT="0" distB="0" distL="0" distR="0">
            <wp:extent cx="5943600" cy="2679065"/>
            <wp:effectExtent l="19050" t="0" r="19050" b="6985"/>
            <wp:docPr id="22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4527" w:rsidRPr="00EE25A9" w:rsidRDefault="00064527" w:rsidP="00064527">
      <w:pPr>
        <w:rPr>
          <w:lang w:val="en-GB"/>
        </w:rPr>
      </w:pPr>
    </w:p>
    <w:p w:rsidR="00064527" w:rsidRPr="00EE25A9" w:rsidRDefault="00064527" w:rsidP="00064527">
      <w:pPr>
        <w:rPr>
          <w:lang w:val="en-GB"/>
        </w:rPr>
      </w:pPr>
    </w:p>
    <w:p w:rsidR="00064527" w:rsidRPr="00EE25A9" w:rsidRDefault="00064527" w:rsidP="00064527">
      <w:pPr>
        <w:rPr>
          <w:lang w:val="en-GB"/>
        </w:rPr>
      </w:pPr>
    </w:p>
    <w:p w:rsidR="00064527" w:rsidRPr="00EE25A9" w:rsidRDefault="00064527" w:rsidP="00064527">
      <w:pPr>
        <w:rPr>
          <w:lang w:val="en-GB"/>
        </w:rPr>
      </w:pPr>
    </w:p>
    <w:p w:rsidR="00064527" w:rsidRPr="00EE25A9" w:rsidRDefault="00064527" w:rsidP="00064527">
      <w:pPr>
        <w:rPr>
          <w:lang w:val="en-GB"/>
        </w:rPr>
      </w:pPr>
    </w:p>
    <w:p w:rsidR="00DA4184" w:rsidRDefault="00064527" w:rsidP="00064527">
      <w:pPr>
        <w:rPr>
          <w:b/>
          <w:sz w:val="28"/>
          <w:szCs w:val="28"/>
          <w:lang w:val="en-GB"/>
        </w:rPr>
      </w:pPr>
      <w:r w:rsidRPr="00EE25A9">
        <w:rPr>
          <w:b/>
          <w:sz w:val="28"/>
          <w:szCs w:val="28"/>
          <w:lang w:val="en-GB"/>
        </w:rPr>
        <w:lastRenderedPageBreak/>
        <w:t xml:space="preserve">4. </w:t>
      </w:r>
      <w:r w:rsidR="00DA4184" w:rsidRPr="00EE25A9">
        <w:rPr>
          <w:b/>
          <w:sz w:val="28"/>
          <w:szCs w:val="28"/>
          <w:lang w:val="en-GB"/>
        </w:rPr>
        <w:t>CONFIDENCE IN INSTITUTIONS</w:t>
      </w:r>
      <w:r w:rsidRPr="00EE25A9">
        <w:rPr>
          <w:b/>
          <w:sz w:val="28"/>
          <w:szCs w:val="28"/>
          <w:lang w:val="en-GB"/>
        </w:rPr>
        <w:t xml:space="preserve"> %</w:t>
      </w:r>
    </w:p>
    <w:p w:rsidR="00297CC5" w:rsidRPr="00EE25A9" w:rsidRDefault="00297CC5" w:rsidP="00064527">
      <w:pPr>
        <w:rPr>
          <w:b/>
          <w:sz w:val="28"/>
          <w:szCs w:val="28"/>
          <w:lang w:val="en-GB"/>
        </w:rPr>
      </w:pPr>
    </w:p>
    <w:tbl>
      <w:tblPr>
        <w:tblStyle w:val="TableGrid"/>
        <w:tblW w:w="9554" w:type="dxa"/>
        <w:tblLook w:val="01E0"/>
      </w:tblPr>
      <w:tblGrid>
        <w:gridCol w:w="3584"/>
        <w:gridCol w:w="1202"/>
        <w:gridCol w:w="1232"/>
        <w:gridCol w:w="1232"/>
        <w:gridCol w:w="1232"/>
        <w:gridCol w:w="1072"/>
      </w:tblGrid>
      <w:tr w:rsidR="00DA4184" w:rsidRPr="00EE25A9" w:rsidTr="00DA4184">
        <w:trPr>
          <w:trHeight w:val="518"/>
        </w:trPr>
        <w:tc>
          <w:tcPr>
            <w:tcW w:w="3584" w:type="dxa"/>
            <w:vAlign w:val="center"/>
          </w:tcPr>
          <w:p w:rsidR="00DA4184" w:rsidRPr="00EE25A9" w:rsidRDefault="00DA4184" w:rsidP="001F4018">
            <w:pPr>
              <w:spacing w:line="216" w:lineRule="auto"/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 w:rsidRPr="00EE25A9">
              <w:rPr>
                <w:rFonts w:ascii="Calibri" w:eastAsia="Calibri" w:hAnsi="Calibri" w:cs="Times New Roman"/>
                <w:b/>
                <w:lang w:val="en-GB"/>
              </w:rPr>
              <w:t>ATTITUDE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I have great confidence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I mostly have confidence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I mostly don't have confidence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I don't have confidence at all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I don't have an opinion</w:t>
            </w:r>
          </w:p>
        </w:tc>
      </w:tr>
      <w:tr w:rsidR="00DA4184" w:rsidRPr="00EE25A9" w:rsidTr="00DA4184">
        <w:trPr>
          <w:trHeight w:val="233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Government of Montenegro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16.3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30.4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21.1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20.6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11.6</w:t>
            </w:r>
          </w:p>
        </w:tc>
      </w:tr>
      <w:tr w:rsidR="00DA4184" w:rsidRPr="00EE25A9" w:rsidTr="00DA4184">
        <w:trPr>
          <w:trHeight w:val="233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President of Montenegro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23.6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25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20.8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20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10.5</w:t>
            </w:r>
          </w:p>
        </w:tc>
      </w:tr>
      <w:tr w:rsidR="00DA4184" w:rsidRPr="00EE25A9" w:rsidTr="00DA4184">
        <w:trPr>
          <w:trHeight w:val="233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Parliament of Montenegro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14.8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21.9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27.1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23.2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13</w:t>
            </w:r>
          </w:p>
        </w:tc>
      </w:tr>
      <w:tr w:rsidR="00DA4184" w:rsidRPr="00EE25A9" w:rsidTr="00DA4184">
        <w:trPr>
          <w:trHeight w:val="233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Judiciary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14.5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27.3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22.2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22.8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13.2</w:t>
            </w:r>
          </w:p>
        </w:tc>
      </w:tr>
      <w:tr w:rsidR="00DA4184" w:rsidRPr="00EE25A9" w:rsidTr="00DA4184">
        <w:trPr>
          <w:trHeight w:val="233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Police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17.1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29.2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22.4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19.2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12.1</w:t>
            </w:r>
          </w:p>
        </w:tc>
      </w:tr>
      <w:tr w:rsidR="00DA4184" w:rsidRPr="00EE25A9" w:rsidTr="00DA4184">
        <w:trPr>
          <w:trHeight w:val="143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Serbian Orthodox Church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33.6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21.4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8.9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13.6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22.5</w:t>
            </w:r>
          </w:p>
        </w:tc>
      </w:tr>
      <w:tr w:rsidR="00DA4184" w:rsidRPr="00EE25A9" w:rsidTr="00DA4184">
        <w:trPr>
          <w:trHeight w:val="198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Montenegrin Orthodox Church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12.2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15.4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12.8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32.2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27.5</w:t>
            </w:r>
          </w:p>
        </w:tc>
      </w:tr>
      <w:tr w:rsidR="00DA4184" w:rsidRPr="00EE25A9" w:rsidTr="00DA4184">
        <w:trPr>
          <w:trHeight w:val="189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 xml:space="preserve">Army of Montenegro 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12.1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30.3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24.2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14.6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18.8</w:t>
            </w:r>
          </w:p>
        </w:tc>
      </w:tr>
      <w:tr w:rsidR="00DA4184" w:rsidRPr="00EE25A9" w:rsidTr="00DA4184">
        <w:trPr>
          <w:trHeight w:val="189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Political Parties in Montenegro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7.4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24.7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29.1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23.6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15.3</w:t>
            </w:r>
          </w:p>
        </w:tc>
      </w:tr>
      <w:tr w:rsidR="00DA4184" w:rsidRPr="00EE25A9" w:rsidTr="00DA4184">
        <w:trPr>
          <w:trHeight w:val="189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Health System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18.1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41.9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20.2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9.9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10</w:t>
            </w:r>
          </w:p>
        </w:tc>
      </w:tr>
      <w:tr w:rsidR="00DA4184" w:rsidRPr="00EE25A9" w:rsidTr="00DA4184">
        <w:trPr>
          <w:trHeight w:val="189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Educational System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19.6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39.8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18.6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10.9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11.1</w:t>
            </w:r>
          </w:p>
        </w:tc>
      </w:tr>
      <w:tr w:rsidR="00DA4184" w:rsidRPr="00EE25A9" w:rsidTr="00DA4184">
        <w:trPr>
          <w:trHeight w:val="233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European Union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17.3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32.2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15.2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19.4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16</w:t>
            </w:r>
          </w:p>
        </w:tc>
      </w:tr>
      <w:tr w:rsidR="00DA4184" w:rsidRPr="00EE25A9" w:rsidTr="00DA4184">
        <w:trPr>
          <w:trHeight w:val="233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NATO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14.7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18.6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19.7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27.5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19.4</w:t>
            </w:r>
          </w:p>
        </w:tc>
      </w:tr>
      <w:tr w:rsidR="00DA4184" w:rsidRPr="00EE25A9" w:rsidTr="00DA4184">
        <w:trPr>
          <w:trHeight w:val="233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Tribune of Hague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11.5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21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16.7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29.1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21.6</w:t>
            </w:r>
          </w:p>
        </w:tc>
      </w:tr>
      <w:tr w:rsidR="00DA4184" w:rsidRPr="00EE25A9" w:rsidTr="00DA4184">
        <w:trPr>
          <w:trHeight w:val="233"/>
        </w:trPr>
        <w:tc>
          <w:tcPr>
            <w:tcW w:w="3584" w:type="dxa"/>
          </w:tcPr>
          <w:p w:rsidR="00DA4184" w:rsidRPr="00EE25A9" w:rsidRDefault="00DA4184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Civil Society Organisations</w:t>
            </w:r>
          </w:p>
        </w:tc>
        <w:tc>
          <w:tcPr>
            <w:tcW w:w="120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10.3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33.1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21.4</w:t>
            </w:r>
          </w:p>
        </w:tc>
        <w:tc>
          <w:tcPr>
            <w:tcW w:w="123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16</w:t>
            </w:r>
          </w:p>
        </w:tc>
        <w:tc>
          <w:tcPr>
            <w:tcW w:w="1072" w:type="dxa"/>
          </w:tcPr>
          <w:p w:rsidR="00DA4184" w:rsidRPr="00EE25A9" w:rsidRDefault="00DA4184">
            <w:pPr>
              <w:jc w:val="right"/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19.2</w:t>
            </w:r>
          </w:p>
        </w:tc>
      </w:tr>
    </w:tbl>
    <w:p w:rsidR="00064527" w:rsidRPr="00EE25A9" w:rsidRDefault="00064527" w:rsidP="00064527">
      <w:pPr>
        <w:rPr>
          <w:b/>
          <w:lang w:val="en-GB"/>
        </w:rPr>
      </w:pPr>
    </w:p>
    <w:p w:rsidR="00DA4184" w:rsidRPr="00EE25A9" w:rsidRDefault="00DA4184" w:rsidP="00064527">
      <w:pPr>
        <w:rPr>
          <w:b/>
          <w:caps/>
          <w:sz w:val="28"/>
          <w:szCs w:val="28"/>
          <w:lang w:val="en-GB"/>
        </w:rPr>
      </w:pPr>
    </w:p>
    <w:p w:rsidR="00DA4184" w:rsidRPr="00EE25A9" w:rsidRDefault="00DA4184" w:rsidP="00064527">
      <w:pPr>
        <w:rPr>
          <w:b/>
          <w:caps/>
          <w:sz w:val="28"/>
          <w:szCs w:val="28"/>
          <w:lang w:val="en-GB"/>
        </w:rPr>
      </w:pPr>
    </w:p>
    <w:p w:rsidR="00DA4184" w:rsidRPr="00EE25A9" w:rsidRDefault="00DA4184" w:rsidP="00064527">
      <w:pPr>
        <w:rPr>
          <w:b/>
          <w:caps/>
          <w:sz w:val="28"/>
          <w:szCs w:val="28"/>
          <w:lang w:val="en-GB"/>
        </w:rPr>
      </w:pPr>
    </w:p>
    <w:p w:rsidR="00DA4184" w:rsidRPr="00EE25A9" w:rsidRDefault="00DA4184" w:rsidP="00064527">
      <w:pPr>
        <w:rPr>
          <w:b/>
          <w:caps/>
          <w:sz w:val="28"/>
          <w:szCs w:val="28"/>
          <w:lang w:val="en-GB"/>
        </w:rPr>
      </w:pPr>
    </w:p>
    <w:p w:rsidR="00DA4184" w:rsidRPr="00EE25A9" w:rsidRDefault="00DA4184" w:rsidP="00064527">
      <w:pPr>
        <w:rPr>
          <w:b/>
          <w:caps/>
          <w:sz w:val="28"/>
          <w:szCs w:val="28"/>
          <w:lang w:val="en-GB"/>
        </w:rPr>
      </w:pPr>
    </w:p>
    <w:p w:rsidR="00DA4184" w:rsidRPr="00EE25A9" w:rsidRDefault="00DA4184" w:rsidP="00064527">
      <w:pPr>
        <w:rPr>
          <w:b/>
          <w:caps/>
          <w:sz w:val="28"/>
          <w:szCs w:val="28"/>
          <w:lang w:val="en-GB"/>
        </w:rPr>
      </w:pPr>
    </w:p>
    <w:p w:rsidR="00DA4184" w:rsidRPr="00EE25A9" w:rsidRDefault="00DA4184" w:rsidP="00064527">
      <w:pPr>
        <w:rPr>
          <w:b/>
          <w:caps/>
          <w:sz w:val="28"/>
          <w:szCs w:val="28"/>
          <w:lang w:val="en-GB"/>
        </w:rPr>
      </w:pPr>
    </w:p>
    <w:p w:rsidR="00DA4184" w:rsidRPr="00EE25A9" w:rsidRDefault="00DA4184" w:rsidP="00064527">
      <w:pPr>
        <w:rPr>
          <w:b/>
          <w:caps/>
          <w:sz w:val="28"/>
          <w:szCs w:val="28"/>
          <w:lang w:val="en-GB"/>
        </w:rPr>
      </w:pPr>
    </w:p>
    <w:p w:rsidR="00DA4184" w:rsidRPr="00EE25A9" w:rsidRDefault="00DA4184" w:rsidP="00064527">
      <w:pPr>
        <w:rPr>
          <w:b/>
          <w:caps/>
          <w:sz w:val="28"/>
          <w:szCs w:val="28"/>
          <w:lang w:val="en-GB"/>
        </w:rPr>
      </w:pPr>
    </w:p>
    <w:p w:rsidR="00DA4184" w:rsidRPr="00EE25A9" w:rsidRDefault="00DA4184" w:rsidP="00064527">
      <w:pPr>
        <w:rPr>
          <w:b/>
          <w:caps/>
          <w:sz w:val="28"/>
          <w:szCs w:val="28"/>
          <w:lang w:val="en-GB"/>
        </w:rPr>
      </w:pPr>
    </w:p>
    <w:p w:rsidR="00064527" w:rsidRDefault="00064527" w:rsidP="00064527">
      <w:pPr>
        <w:rPr>
          <w:b/>
          <w:caps/>
          <w:sz w:val="28"/>
          <w:szCs w:val="28"/>
          <w:lang w:val="en-GB"/>
        </w:rPr>
      </w:pPr>
      <w:r w:rsidRPr="00EE25A9">
        <w:rPr>
          <w:b/>
          <w:caps/>
          <w:sz w:val="28"/>
          <w:szCs w:val="28"/>
          <w:lang w:val="en-GB"/>
        </w:rPr>
        <w:lastRenderedPageBreak/>
        <w:t>4.1</w:t>
      </w:r>
      <w:r w:rsidR="00DA4184" w:rsidRPr="00EE25A9">
        <w:rPr>
          <w:b/>
          <w:caps/>
          <w:sz w:val="28"/>
          <w:szCs w:val="28"/>
          <w:lang w:val="en-GB"/>
        </w:rPr>
        <w:t>.</w:t>
      </w:r>
      <w:r w:rsidRPr="00EE25A9">
        <w:rPr>
          <w:b/>
          <w:caps/>
          <w:sz w:val="28"/>
          <w:szCs w:val="28"/>
          <w:lang w:val="en-GB"/>
        </w:rPr>
        <w:t xml:space="preserve"> </w:t>
      </w:r>
      <w:r w:rsidR="00DA4184" w:rsidRPr="00EE25A9">
        <w:rPr>
          <w:b/>
          <w:caps/>
          <w:sz w:val="28"/>
          <w:szCs w:val="28"/>
          <w:lang w:val="en-GB"/>
        </w:rPr>
        <w:t>CONFIDENCE IN INSTITUTIONS</w:t>
      </w:r>
      <w:r w:rsidRPr="00EE25A9">
        <w:rPr>
          <w:b/>
          <w:caps/>
          <w:sz w:val="28"/>
          <w:szCs w:val="28"/>
          <w:lang w:val="en-GB"/>
        </w:rPr>
        <w:t xml:space="preserve"> – SUM (</w:t>
      </w:r>
      <w:r w:rsidR="00DA4184" w:rsidRPr="00EE25A9">
        <w:rPr>
          <w:b/>
          <w:caps/>
          <w:sz w:val="28"/>
          <w:szCs w:val="28"/>
          <w:lang w:val="en-GB"/>
        </w:rPr>
        <w:t>GREAT AND</w:t>
      </w:r>
      <w:r w:rsidRPr="00EE25A9">
        <w:rPr>
          <w:b/>
          <w:caps/>
          <w:sz w:val="28"/>
          <w:szCs w:val="28"/>
          <w:lang w:val="en-GB"/>
        </w:rPr>
        <w:t xml:space="preserve"> </w:t>
      </w:r>
      <w:r w:rsidR="00DA4184" w:rsidRPr="00EE25A9">
        <w:rPr>
          <w:b/>
          <w:caps/>
          <w:sz w:val="28"/>
          <w:szCs w:val="28"/>
          <w:lang w:val="en-GB"/>
        </w:rPr>
        <w:t>MOSTLY GREAT</w:t>
      </w:r>
      <w:r w:rsidR="00EE25A9" w:rsidRPr="00EE25A9">
        <w:rPr>
          <w:b/>
          <w:caps/>
          <w:sz w:val="28"/>
          <w:szCs w:val="28"/>
          <w:lang w:val="en-GB"/>
        </w:rPr>
        <w:t>)</w:t>
      </w:r>
      <w:r w:rsidRPr="00EE25A9">
        <w:rPr>
          <w:b/>
          <w:caps/>
          <w:sz w:val="28"/>
          <w:szCs w:val="28"/>
          <w:lang w:val="en-GB"/>
        </w:rPr>
        <w:t xml:space="preserve"> -  %</w:t>
      </w:r>
    </w:p>
    <w:p w:rsidR="00297CC5" w:rsidRPr="00EE25A9" w:rsidRDefault="00297CC5" w:rsidP="00064527">
      <w:pPr>
        <w:rPr>
          <w:b/>
          <w:caps/>
          <w:sz w:val="28"/>
          <w:szCs w:val="28"/>
          <w:lang w:val="en-GB"/>
        </w:rPr>
      </w:pPr>
    </w:p>
    <w:p w:rsidR="00064527" w:rsidRPr="00EE25A9" w:rsidRDefault="00DA4184" w:rsidP="00064527">
      <w:pPr>
        <w:rPr>
          <w:lang w:val="en-GB"/>
        </w:rPr>
      </w:pPr>
      <w:r w:rsidRPr="00EE25A9">
        <w:rPr>
          <w:noProof/>
        </w:rPr>
        <w:drawing>
          <wp:inline distT="0" distB="0" distL="0" distR="0">
            <wp:extent cx="5943600" cy="3067685"/>
            <wp:effectExtent l="19050" t="0" r="19050" b="0"/>
            <wp:docPr id="23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4527" w:rsidRPr="00EE25A9" w:rsidRDefault="00064527" w:rsidP="00064527">
      <w:pPr>
        <w:rPr>
          <w:b/>
          <w:lang w:val="en-GB"/>
        </w:rPr>
      </w:pPr>
    </w:p>
    <w:p w:rsidR="00064527" w:rsidRPr="00EE25A9" w:rsidRDefault="00064527" w:rsidP="00064527">
      <w:pPr>
        <w:rPr>
          <w:b/>
          <w:caps/>
          <w:sz w:val="28"/>
          <w:szCs w:val="28"/>
          <w:lang w:val="en-GB"/>
        </w:rPr>
      </w:pPr>
      <w:r w:rsidRPr="00EE25A9">
        <w:rPr>
          <w:b/>
          <w:caps/>
          <w:sz w:val="28"/>
          <w:szCs w:val="28"/>
          <w:lang w:val="en-GB"/>
        </w:rPr>
        <w:t>4.2</w:t>
      </w:r>
      <w:r w:rsidR="00EE25A9" w:rsidRPr="00EE25A9">
        <w:rPr>
          <w:b/>
          <w:caps/>
          <w:sz w:val="28"/>
          <w:szCs w:val="28"/>
          <w:lang w:val="en-GB"/>
        </w:rPr>
        <w:t>.</w:t>
      </w:r>
      <w:r w:rsidRPr="00EE25A9">
        <w:rPr>
          <w:b/>
          <w:caps/>
          <w:sz w:val="28"/>
          <w:szCs w:val="28"/>
          <w:lang w:val="en-GB"/>
        </w:rPr>
        <w:t xml:space="preserve"> </w:t>
      </w:r>
      <w:r w:rsidR="00EE25A9" w:rsidRPr="00EE25A9">
        <w:rPr>
          <w:b/>
          <w:caps/>
          <w:sz w:val="28"/>
          <w:szCs w:val="28"/>
          <w:lang w:val="en-GB"/>
        </w:rPr>
        <w:t>CONFIDENCE IN INSTITUTIONS – SUM (GREAT AND MOSTLY GREAT)</w:t>
      </w:r>
      <w:r w:rsidRPr="00EE25A9">
        <w:rPr>
          <w:b/>
          <w:caps/>
          <w:sz w:val="28"/>
          <w:szCs w:val="28"/>
          <w:lang w:val="en-GB"/>
        </w:rPr>
        <w:t xml:space="preserve"> % - TREND</w:t>
      </w:r>
    </w:p>
    <w:tbl>
      <w:tblPr>
        <w:tblStyle w:val="LightShading-Accent11"/>
        <w:tblW w:w="8568" w:type="dxa"/>
        <w:tblLook w:val="04A0"/>
      </w:tblPr>
      <w:tblGrid>
        <w:gridCol w:w="3383"/>
        <w:gridCol w:w="1157"/>
        <w:gridCol w:w="248"/>
        <w:gridCol w:w="1080"/>
        <w:gridCol w:w="270"/>
        <w:gridCol w:w="1260"/>
        <w:gridCol w:w="1170"/>
      </w:tblGrid>
      <w:tr w:rsidR="00064527" w:rsidRPr="00EE25A9" w:rsidTr="00EE25A9">
        <w:trPr>
          <w:cnfStyle w:val="100000000000"/>
          <w:trHeight w:val="300"/>
        </w:trPr>
        <w:tc>
          <w:tcPr>
            <w:cnfStyle w:val="001000000000"/>
            <w:tcW w:w="3383" w:type="dxa"/>
            <w:noWrap/>
            <w:hideMark/>
          </w:tcPr>
          <w:p w:rsidR="00064527" w:rsidRPr="00EE25A9" w:rsidRDefault="00064527" w:rsidP="001F4018">
            <w:pPr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405" w:type="dxa"/>
            <w:gridSpan w:val="2"/>
            <w:noWrap/>
            <w:vAlign w:val="center"/>
            <w:hideMark/>
          </w:tcPr>
          <w:p w:rsidR="00064527" w:rsidRPr="00EE25A9" w:rsidRDefault="00EE25A9" w:rsidP="00EE25A9">
            <w:pPr>
              <w:ind w:right="-245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Novembe</w:t>
            </w:r>
            <w:r w:rsidR="00064527" w:rsidRPr="00EE25A9">
              <w:rPr>
                <w:rFonts w:ascii="Calibri" w:eastAsia="Times New Roman" w:hAnsi="Calibri" w:cs="Calibri"/>
                <w:color w:val="000000"/>
                <w:lang w:val="en-GB"/>
              </w:rPr>
              <w:t>r 2010</w:t>
            </w:r>
          </w:p>
        </w:tc>
        <w:tc>
          <w:tcPr>
            <w:tcW w:w="1350" w:type="dxa"/>
            <w:gridSpan w:val="2"/>
            <w:noWrap/>
            <w:vAlign w:val="center"/>
            <w:hideMark/>
          </w:tcPr>
          <w:p w:rsidR="00064527" w:rsidRPr="00EE25A9" w:rsidRDefault="00EE25A9" w:rsidP="00EE25A9">
            <w:pPr>
              <w:ind w:right="-195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Septembe</w:t>
            </w:r>
            <w:r w:rsidR="00064527" w:rsidRPr="00EE25A9">
              <w:rPr>
                <w:rFonts w:ascii="Calibri" w:eastAsia="Times New Roman" w:hAnsi="Calibri" w:cs="Calibri"/>
                <w:color w:val="000000"/>
                <w:lang w:val="en-GB"/>
              </w:rPr>
              <w:t>r 2011</w:t>
            </w:r>
          </w:p>
        </w:tc>
        <w:tc>
          <w:tcPr>
            <w:tcW w:w="1260" w:type="dxa"/>
            <w:noWrap/>
            <w:vAlign w:val="center"/>
            <w:hideMark/>
          </w:tcPr>
          <w:p w:rsidR="00064527" w:rsidRPr="00EE25A9" w:rsidRDefault="00EE25A9" w:rsidP="00EE25A9">
            <w:pPr>
              <w:ind w:right="-353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Decembe</w:t>
            </w:r>
            <w:r w:rsidR="00064527" w:rsidRPr="00EE25A9">
              <w:rPr>
                <w:rFonts w:ascii="Calibri" w:eastAsia="Times New Roman" w:hAnsi="Calibri" w:cs="Calibri"/>
                <w:color w:val="000000"/>
                <w:lang w:val="en-GB"/>
              </w:rPr>
              <w:t>r, 2011</w:t>
            </w:r>
          </w:p>
        </w:tc>
        <w:tc>
          <w:tcPr>
            <w:tcW w:w="1170" w:type="dxa"/>
            <w:noWrap/>
            <w:vAlign w:val="center"/>
            <w:hideMark/>
          </w:tcPr>
          <w:p w:rsidR="00064527" w:rsidRPr="00EE25A9" w:rsidRDefault="00064527" w:rsidP="001F4018">
            <w:pPr>
              <w:ind w:right="-113"/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    </w:t>
            </w:r>
            <w:r w:rsidR="00EE25A9" w:rsidRPr="00EE25A9">
              <w:rPr>
                <w:rFonts w:ascii="Calibri" w:eastAsia="Times New Roman" w:hAnsi="Calibri" w:cs="Calibri"/>
                <w:color w:val="000000"/>
                <w:lang w:val="en-GB"/>
              </w:rPr>
              <w:t>July</w:t>
            </w: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 xml:space="preserve"> 2012</w:t>
            </w:r>
          </w:p>
        </w:tc>
      </w:tr>
      <w:tr w:rsidR="00EE25A9" w:rsidRPr="00EE25A9" w:rsidTr="00EE25A9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Government of Montenegro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55,2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49,9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52,1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46,7</w:t>
            </w:r>
          </w:p>
        </w:tc>
      </w:tr>
      <w:tr w:rsidR="00EE25A9" w:rsidRPr="00EE25A9" w:rsidTr="00EE25A9">
        <w:trPr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President of Montenegro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59,2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56,3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62,2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48,6</w:t>
            </w:r>
          </w:p>
        </w:tc>
      </w:tr>
      <w:tr w:rsidR="00EE25A9" w:rsidRPr="00EE25A9" w:rsidTr="00EE25A9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Parliament of Montenegro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48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44,1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43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36,7</w:t>
            </w:r>
          </w:p>
        </w:tc>
      </w:tr>
      <w:tr w:rsidR="00EE25A9" w:rsidRPr="00EE25A9" w:rsidTr="00EE25A9">
        <w:trPr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Judiciary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45,5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47,1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44,8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41,8</w:t>
            </w:r>
          </w:p>
        </w:tc>
      </w:tr>
      <w:tr w:rsidR="00EE25A9" w:rsidRPr="00EE25A9" w:rsidTr="00EE25A9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Police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52,7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47,7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47,3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46,3</w:t>
            </w:r>
          </w:p>
        </w:tc>
      </w:tr>
      <w:tr w:rsidR="00EE25A9" w:rsidRPr="00EE25A9" w:rsidTr="00EE25A9">
        <w:trPr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Serbian Orthodox Church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52,6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48,9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52,7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55</w:t>
            </w:r>
          </w:p>
        </w:tc>
      </w:tr>
      <w:tr w:rsidR="00EE25A9" w:rsidRPr="00EE25A9" w:rsidTr="00EE25A9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Montenegrin Orthodox Church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31,2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28,1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30,2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27,6</w:t>
            </w:r>
          </w:p>
        </w:tc>
      </w:tr>
      <w:tr w:rsidR="00EE25A9" w:rsidRPr="00EE25A9" w:rsidTr="00EE25A9">
        <w:trPr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 xml:space="preserve">Army of Montenegro 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55,4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44,9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46,8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42,4</w:t>
            </w:r>
          </w:p>
        </w:tc>
      </w:tr>
      <w:tr w:rsidR="00EE25A9" w:rsidRPr="00EE25A9" w:rsidTr="00EE25A9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Political Parties in Montenegro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31,3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30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33,5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32,1</w:t>
            </w:r>
          </w:p>
        </w:tc>
      </w:tr>
      <w:tr w:rsidR="00EE25A9" w:rsidRPr="00EE25A9" w:rsidTr="00EE25A9">
        <w:trPr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Health System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64,6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57,8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64,7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60</w:t>
            </w:r>
          </w:p>
        </w:tc>
      </w:tr>
      <w:tr w:rsidR="00EE25A9" w:rsidRPr="00EE25A9" w:rsidTr="00EE25A9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Educational System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66,8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59,7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63,2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59,4</w:t>
            </w:r>
          </w:p>
        </w:tc>
      </w:tr>
      <w:tr w:rsidR="00EE25A9" w:rsidRPr="00EE25A9" w:rsidTr="00EE25A9">
        <w:trPr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European Union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59,5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49,9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53,1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49,5</w:t>
            </w:r>
          </w:p>
        </w:tc>
      </w:tr>
      <w:tr w:rsidR="00EE25A9" w:rsidRPr="00EE25A9" w:rsidTr="00EE25A9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NATO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35,8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30,1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33,1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33,3</w:t>
            </w:r>
          </w:p>
        </w:tc>
      </w:tr>
      <w:tr w:rsidR="00EE25A9" w:rsidRPr="00EE25A9" w:rsidTr="00EE25A9">
        <w:trPr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Tribune of Hague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26,8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25,8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26,2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32,5</w:t>
            </w:r>
          </w:p>
        </w:tc>
      </w:tr>
      <w:tr w:rsidR="00EE25A9" w:rsidRPr="00EE25A9" w:rsidTr="00EE25A9">
        <w:trPr>
          <w:cnfStyle w:val="000000100000"/>
          <w:trHeight w:val="300"/>
        </w:trPr>
        <w:tc>
          <w:tcPr>
            <w:cnfStyle w:val="001000000000"/>
            <w:tcW w:w="3383" w:type="dxa"/>
            <w:hideMark/>
          </w:tcPr>
          <w:p w:rsidR="00EE25A9" w:rsidRPr="00EE25A9" w:rsidRDefault="00EE25A9" w:rsidP="001F4018">
            <w:pPr>
              <w:rPr>
                <w:rFonts w:ascii="Calibri" w:hAnsi="Calibri"/>
                <w:color w:val="000000"/>
                <w:lang w:val="en-GB"/>
              </w:rPr>
            </w:pPr>
            <w:r w:rsidRPr="00EE25A9">
              <w:rPr>
                <w:rFonts w:ascii="Calibri" w:hAnsi="Calibri"/>
                <w:color w:val="000000"/>
                <w:lang w:val="en-GB"/>
              </w:rPr>
              <w:t>Civil Society Organisations</w:t>
            </w:r>
          </w:p>
        </w:tc>
        <w:tc>
          <w:tcPr>
            <w:tcW w:w="1157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50,5</w:t>
            </w:r>
          </w:p>
        </w:tc>
        <w:tc>
          <w:tcPr>
            <w:tcW w:w="1328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50,2</w:t>
            </w:r>
          </w:p>
        </w:tc>
        <w:tc>
          <w:tcPr>
            <w:tcW w:w="1530" w:type="dxa"/>
            <w:gridSpan w:val="2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46,7</w:t>
            </w:r>
          </w:p>
        </w:tc>
        <w:tc>
          <w:tcPr>
            <w:tcW w:w="1170" w:type="dxa"/>
            <w:noWrap/>
            <w:vAlign w:val="center"/>
            <w:hideMark/>
          </w:tcPr>
          <w:p w:rsidR="00EE25A9" w:rsidRPr="00EE25A9" w:rsidRDefault="00EE25A9" w:rsidP="001F401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EE25A9">
              <w:rPr>
                <w:rFonts w:ascii="Calibri" w:eastAsia="Times New Roman" w:hAnsi="Calibri" w:cs="Calibri"/>
                <w:color w:val="000000"/>
                <w:lang w:val="en-GB"/>
              </w:rPr>
              <w:t>43,4</w:t>
            </w:r>
          </w:p>
        </w:tc>
      </w:tr>
    </w:tbl>
    <w:p w:rsidR="00064527" w:rsidRDefault="00064527" w:rsidP="00064527">
      <w:pPr>
        <w:rPr>
          <w:b/>
          <w:caps/>
          <w:sz w:val="28"/>
          <w:szCs w:val="28"/>
          <w:lang w:val="en-GB"/>
        </w:rPr>
      </w:pPr>
      <w:r w:rsidRPr="00EE25A9">
        <w:rPr>
          <w:b/>
          <w:caps/>
          <w:sz w:val="28"/>
          <w:szCs w:val="28"/>
          <w:lang w:val="en-GB"/>
        </w:rPr>
        <w:lastRenderedPageBreak/>
        <w:t xml:space="preserve">5. </w:t>
      </w:r>
      <w:r w:rsidR="00EE25A9">
        <w:rPr>
          <w:b/>
          <w:caps/>
          <w:sz w:val="28"/>
          <w:szCs w:val="28"/>
          <w:lang w:val="en-GB"/>
        </w:rPr>
        <w:t>RAnking of politicians</w:t>
      </w:r>
      <w:r w:rsidRPr="00EE25A9">
        <w:rPr>
          <w:b/>
          <w:caps/>
          <w:sz w:val="28"/>
          <w:szCs w:val="28"/>
          <w:lang w:val="en-GB"/>
        </w:rPr>
        <w:t xml:space="preserve"> (1,</w:t>
      </w:r>
      <w:r w:rsidR="00EE25A9">
        <w:rPr>
          <w:b/>
          <w:caps/>
          <w:sz w:val="28"/>
          <w:szCs w:val="28"/>
          <w:lang w:val="en-GB"/>
        </w:rPr>
        <w:t xml:space="preserve"> </w:t>
      </w:r>
      <w:r w:rsidRPr="00EE25A9">
        <w:rPr>
          <w:b/>
          <w:caps/>
          <w:sz w:val="28"/>
          <w:szCs w:val="28"/>
          <w:lang w:val="en-GB"/>
        </w:rPr>
        <w:t>00</w:t>
      </w:r>
      <w:r w:rsidR="00EE25A9">
        <w:rPr>
          <w:b/>
          <w:caps/>
          <w:sz w:val="28"/>
          <w:szCs w:val="28"/>
          <w:lang w:val="en-GB"/>
        </w:rPr>
        <w:t xml:space="preserve"> </w:t>
      </w:r>
      <w:r w:rsidRPr="00EE25A9">
        <w:rPr>
          <w:b/>
          <w:caps/>
          <w:sz w:val="28"/>
          <w:szCs w:val="28"/>
          <w:lang w:val="en-GB"/>
        </w:rPr>
        <w:t>-</w:t>
      </w:r>
      <w:r w:rsidR="00EE25A9">
        <w:rPr>
          <w:b/>
          <w:caps/>
          <w:sz w:val="28"/>
          <w:szCs w:val="28"/>
          <w:lang w:val="en-GB"/>
        </w:rPr>
        <w:t xml:space="preserve"> </w:t>
      </w:r>
      <w:r w:rsidRPr="00EE25A9">
        <w:rPr>
          <w:b/>
          <w:caps/>
          <w:sz w:val="28"/>
          <w:szCs w:val="28"/>
          <w:lang w:val="en-GB"/>
        </w:rPr>
        <w:t>5,</w:t>
      </w:r>
      <w:r w:rsidR="00EE25A9">
        <w:rPr>
          <w:b/>
          <w:caps/>
          <w:sz w:val="28"/>
          <w:szCs w:val="28"/>
          <w:lang w:val="en-GB"/>
        </w:rPr>
        <w:t xml:space="preserve"> </w:t>
      </w:r>
      <w:r w:rsidRPr="00EE25A9">
        <w:rPr>
          <w:b/>
          <w:caps/>
          <w:sz w:val="28"/>
          <w:szCs w:val="28"/>
          <w:lang w:val="en-GB"/>
        </w:rPr>
        <w:t>00)</w:t>
      </w:r>
    </w:p>
    <w:p w:rsidR="00064527" w:rsidRPr="00EE25A9" w:rsidRDefault="00EE25A9" w:rsidP="00064527">
      <w:pPr>
        <w:rPr>
          <w:b/>
          <w:caps/>
          <w:sz w:val="28"/>
          <w:szCs w:val="28"/>
          <w:lang w:val="en-GB"/>
        </w:rPr>
      </w:pPr>
      <w:r w:rsidRPr="00EE25A9">
        <w:rPr>
          <w:b/>
          <w:caps/>
          <w:noProof/>
          <w:sz w:val="28"/>
          <w:szCs w:val="28"/>
        </w:rPr>
        <w:drawing>
          <wp:inline distT="0" distB="0" distL="0" distR="0">
            <wp:extent cx="5791200" cy="3219450"/>
            <wp:effectExtent l="19050" t="0" r="19050" b="0"/>
            <wp:docPr id="25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4527" w:rsidRPr="00EE25A9" w:rsidRDefault="00064527" w:rsidP="00064527">
      <w:pPr>
        <w:rPr>
          <w:b/>
          <w:caps/>
          <w:sz w:val="28"/>
          <w:szCs w:val="28"/>
          <w:lang w:val="en-GB"/>
        </w:rPr>
      </w:pPr>
      <w:r w:rsidRPr="00EE25A9">
        <w:rPr>
          <w:b/>
          <w:caps/>
          <w:sz w:val="28"/>
          <w:szCs w:val="28"/>
          <w:lang w:val="en-GB"/>
        </w:rPr>
        <w:t>6. Part</w:t>
      </w:r>
      <w:r w:rsidR="00EE25A9">
        <w:rPr>
          <w:b/>
          <w:caps/>
          <w:sz w:val="28"/>
          <w:szCs w:val="28"/>
          <w:lang w:val="en-GB"/>
        </w:rPr>
        <w:t>y AFFILIATION</w:t>
      </w:r>
      <w:r w:rsidRPr="00EE25A9">
        <w:rPr>
          <w:b/>
          <w:caps/>
          <w:sz w:val="28"/>
          <w:szCs w:val="28"/>
          <w:lang w:val="en-GB"/>
        </w:rPr>
        <w:t xml:space="preserve"> -</w:t>
      </w:r>
      <w:r w:rsidR="00EE25A9">
        <w:rPr>
          <w:b/>
          <w:caps/>
          <w:sz w:val="28"/>
          <w:szCs w:val="28"/>
          <w:lang w:val="en-GB"/>
        </w:rPr>
        <w:t xml:space="preserve"> </w:t>
      </w:r>
      <w:r w:rsidRPr="00EE25A9">
        <w:rPr>
          <w:b/>
          <w:caps/>
          <w:sz w:val="28"/>
          <w:szCs w:val="28"/>
          <w:lang w:val="en-GB"/>
        </w:rPr>
        <w:t>%</w:t>
      </w:r>
    </w:p>
    <w:p w:rsidR="00064527" w:rsidRPr="00EE25A9" w:rsidRDefault="00EE25A9" w:rsidP="00064527">
      <w:pPr>
        <w:rPr>
          <w:b/>
          <w:lang w:val="en-GB"/>
        </w:rPr>
      </w:pPr>
      <w:r w:rsidRPr="00EE25A9">
        <w:rPr>
          <w:rFonts w:ascii="Arial" w:hAnsi="Arial" w:cs="Arial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5886451" cy="4076700"/>
            <wp:effectExtent l="19050" t="0" r="19049" b="0"/>
            <wp:docPr id="26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64527" w:rsidRPr="00EE25A9">
        <w:rPr>
          <w:rFonts w:ascii="Arial" w:hAnsi="Arial" w:cs="Arial"/>
          <w:b/>
          <w:bCs/>
          <w:color w:val="000000"/>
          <w:sz w:val="18"/>
          <w:szCs w:val="18"/>
          <w:lang w:val="en-GB"/>
        </w:rPr>
        <w:tab/>
      </w:r>
    </w:p>
    <w:p w:rsidR="00064527" w:rsidRPr="00EE25A9" w:rsidRDefault="00EE25A9" w:rsidP="00064527">
      <w:pPr>
        <w:rPr>
          <w:b/>
          <w:caps/>
          <w:sz w:val="28"/>
          <w:szCs w:val="28"/>
          <w:lang w:val="en-GB"/>
        </w:rPr>
      </w:pPr>
      <w:r>
        <w:rPr>
          <w:b/>
          <w:caps/>
          <w:sz w:val="28"/>
          <w:szCs w:val="28"/>
          <w:lang w:val="en-GB"/>
        </w:rPr>
        <w:lastRenderedPageBreak/>
        <w:t xml:space="preserve">6.1. </w:t>
      </w:r>
      <w:r w:rsidR="00064527" w:rsidRPr="00EE25A9">
        <w:rPr>
          <w:b/>
          <w:caps/>
          <w:sz w:val="28"/>
          <w:szCs w:val="28"/>
          <w:lang w:val="en-GB"/>
        </w:rPr>
        <w:t>Part</w:t>
      </w:r>
      <w:r>
        <w:rPr>
          <w:b/>
          <w:caps/>
          <w:sz w:val="28"/>
          <w:szCs w:val="28"/>
          <w:lang w:val="en-GB"/>
        </w:rPr>
        <w:t xml:space="preserve">y affiliation </w:t>
      </w:r>
      <w:r w:rsidR="00064527" w:rsidRPr="00EE25A9">
        <w:rPr>
          <w:b/>
          <w:caps/>
          <w:sz w:val="28"/>
          <w:szCs w:val="28"/>
          <w:lang w:val="en-GB"/>
        </w:rPr>
        <w:t>-</w:t>
      </w:r>
      <w:r>
        <w:rPr>
          <w:b/>
          <w:caps/>
          <w:sz w:val="28"/>
          <w:szCs w:val="28"/>
          <w:lang w:val="en-GB"/>
        </w:rPr>
        <w:t xml:space="preserve"> </w:t>
      </w:r>
      <w:r w:rsidR="00064527" w:rsidRPr="00EE25A9">
        <w:rPr>
          <w:b/>
          <w:caps/>
          <w:sz w:val="28"/>
          <w:szCs w:val="28"/>
          <w:lang w:val="en-GB"/>
        </w:rPr>
        <w:t>% - TREND</w:t>
      </w:r>
    </w:p>
    <w:tbl>
      <w:tblPr>
        <w:tblStyle w:val="LightShading-Accent4"/>
        <w:tblW w:w="8981" w:type="dxa"/>
        <w:tblLook w:val="04A0"/>
      </w:tblPr>
      <w:tblGrid>
        <w:gridCol w:w="1301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97CC5" w:rsidRPr="00297CC5" w:rsidTr="0072186E">
        <w:trPr>
          <w:cnfStyle w:val="100000000000"/>
          <w:trHeight w:val="300"/>
        </w:trPr>
        <w:tc>
          <w:tcPr>
            <w:cnfStyle w:val="001000000000"/>
            <w:tcW w:w="1301" w:type="dxa"/>
            <w:noWrap/>
            <w:hideMark/>
          </w:tcPr>
          <w:p w:rsidR="00297CC5" w:rsidRPr="00297CC5" w:rsidRDefault="00297CC5" w:rsidP="001F4018">
            <w:pPr>
              <w:rPr>
                <w:rFonts w:eastAsia="Times New Roman" w:cs="Calibri"/>
                <w:color w:val="000000"/>
                <w:lang w:val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100000000000"/>
              <w:rPr>
                <w:rFonts w:cs="Arial"/>
              </w:rPr>
            </w:pPr>
            <w:r w:rsidRPr="00297CC5">
              <w:rPr>
                <w:rFonts w:cs="Arial"/>
              </w:rPr>
              <w:t>Nov '08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100000000000"/>
              <w:rPr>
                <w:rFonts w:cs="Arial"/>
              </w:rPr>
            </w:pPr>
            <w:r w:rsidRPr="00297CC5">
              <w:rPr>
                <w:rFonts w:cs="Arial"/>
              </w:rPr>
              <w:t>Oct '09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100000000000"/>
              <w:rPr>
                <w:rFonts w:cs="Arial"/>
              </w:rPr>
            </w:pPr>
            <w:r w:rsidRPr="00297CC5">
              <w:rPr>
                <w:rFonts w:cs="Arial"/>
              </w:rPr>
              <w:t>Jul '10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100000000000"/>
              <w:rPr>
                <w:rFonts w:cs="Arial"/>
              </w:rPr>
            </w:pPr>
            <w:r w:rsidRPr="00297CC5">
              <w:rPr>
                <w:rFonts w:cs="Arial"/>
              </w:rPr>
              <w:t>Oct '10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100000000000"/>
              <w:rPr>
                <w:color w:val="000000"/>
              </w:rPr>
            </w:pPr>
            <w:r w:rsidRPr="00297CC5">
              <w:rPr>
                <w:color w:val="000000"/>
              </w:rPr>
              <w:t>Dec '10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100000000000"/>
              <w:rPr>
                <w:color w:val="000000"/>
              </w:rPr>
            </w:pPr>
            <w:r w:rsidRPr="00297CC5">
              <w:rPr>
                <w:color w:val="000000"/>
              </w:rPr>
              <w:t>Sep '11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100000000000"/>
              <w:rPr>
                <w:color w:val="000000"/>
              </w:rPr>
            </w:pPr>
            <w:r w:rsidRPr="00297CC5">
              <w:rPr>
                <w:color w:val="000000"/>
              </w:rPr>
              <w:t>Dec '11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100000000000"/>
              <w:rPr>
                <w:color w:val="000000"/>
              </w:rPr>
            </w:pPr>
            <w:r w:rsidRPr="00297CC5">
              <w:rPr>
                <w:color w:val="000000"/>
              </w:rPr>
              <w:t>Jul '12</w:t>
            </w:r>
          </w:p>
        </w:tc>
      </w:tr>
      <w:tr w:rsidR="00297CC5" w:rsidRPr="00297CC5" w:rsidTr="0072186E">
        <w:trPr>
          <w:cnfStyle w:val="000000100000"/>
          <w:trHeight w:val="300"/>
        </w:trPr>
        <w:tc>
          <w:tcPr>
            <w:cnfStyle w:val="001000000000"/>
            <w:tcW w:w="1301" w:type="dxa"/>
            <w:noWrap/>
            <w:hideMark/>
          </w:tcPr>
          <w:p w:rsidR="00297CC5" w:rsidRPr="00297CC5" w:rsidRDefault="00297CC5" w:rsidP="001F4018">
            <w:pPr>
              <w:rPr>
                <w:rFonts w:eastAsia="Times New Roman" w:cs="Calibri"/>
                <w:color w:val="000000"/>
                <w:lang w:val="en-GB"/>
              </w:rPr>
            </w:pPr>
            <w:r w:rsidRPr="00297CC5">
              <w:rPr>
                <w:rFonts w:eastAsia="Times New Roman" w:cs="Calibri"/>
                <w:color w:val="000000"/>
                <w:lang w:val="en-GB"/>
              </w:rPr>
              <w:t>DPS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48.7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48.7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44.4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48.1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47.9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46.1</w:t>
            </w:r>
          </w:p>
        </w:tc>
        <w:tc>
          <w:tcPr>
            <w:tcW w:w="960" w:type="dxa"/>
            <w:noWrap/>
            <w:hideMark/>
          </w:tcPr>
          <w:p w:rsidR="00297CC5" w:rsidRPr="00297CC5" w:rsidRDefault="00297CC5">
            <w:pPr>
              <w:jc w:val="right"/>
              <w:cnfStyle w:val="000000100000"/>
              <w:rPr>
                <w:rFonts w:cs="Arial"/>
                <w:b/>
                <w:color w:val="000000"/>
              </w:rPr>
            </w:pPr>
            <w:r w:rsidRPr="00297CC5">
              <w:rPr>
                <w:rFonts w:cs="Arial"/>
                <w:b/>
                <w:color w:val="000000"/>
              </w:rPr>
              <w:t>45.8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right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44.3</w:t>
            </w:r>
          </w:p>
        </w:tc>
      </w:tr>
      <w:tr w:rsidR="00297CC5" w:rsidRPr="00297CC5" w:rsidTr="0072186E">
        <w:trPr>
          <w:trHeight w:val="300"/>
        </w:trPr>
        <w:tc>
          <w:tcPr>
            <w:cnfStyle w:val="001000000000"/>
            <w:tcW w:w="1301" w:type="dxa"/>
            <w:noWrap/>
            <w:hideMark/>
          </w:tcPr>
          <w:p w:rsidR="00297CC5" w:rsidRPr="00297CC5" w:rsidRDefault="00297CC5" w:rsidP="001F4018">
            <w:pPr>
              <w:rPr>
                <w:rFonts w:eastAsia="Times New Roman" w:cs="Calibri"/>
                <w:color w:val="000000"/>
                <w:lang w:val="en-GB"/>
              </w:rPr>
            </w:pPr>
            <w:r w:rsidRPr="00297CC5">
              <w:rPr>
                <w:rFonts w:eastAsia="Times New Roman" w:cs="Calibri"/>
                <w:color w:val="000000"/>
                <w:lang w:val="en-GB"/>
              </w:rPr>
              <w:t>SDP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4.7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4.2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8.8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8.8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8.5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7.9</w:t>
            </w:r>
          </w:p>
        </w:tc>
        <w:tc>
          <w:tcPr>
            <w:tcW w:w="960" w:type="dxa"/>
            <w:noWrap/>
            <w:hideMark/>
          </w:tcPr>
          <w:p w:rsidR="00297CC5" w:rsidRPr="00297CC5" w:rsidRDefault="00297CC5">
            <w:pPr>
              <w:jc w:val="right"/>
              <w:cnfStyle w:val="000000000000"/>
              <w:rPr>
                <w:rFonts w:cs="Arial"/>
                <w:b/>
                <w:color w:val="000000"/>
              </w:rPr>
            </w:pPr>
            <w:r w:rsidRPr="00297CC5">
              <w:rPr>
                <w:rFonts w:cs="Arial"/>
                <w:b/>
                <w:color w:val="000000"/>
              </w:rPr>
              <w:t>8.6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right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7.8</w:t>
            </w:r>
          </w:p>
        </w:tc>
      </w:tr>
      <w:tr w:rsidR="00297CC5" w:rsidRPr="00297CC5" w:rsidTr="0072186E">
        <w:trPr>
          <w:cnfStyle w:val="000000100000"/>
          <w:trHeight w:val="300"/>
        </w:trPr>
        <w:tc>
          <w:tcPr>
            <w:cnfStyle w:val="001000000000"/>
            <w:tcW w:w="1301" w:type="dxa"/>
            <w:noWrap/>
            <w:hideMark/>
          </w:tcPr>
          <w:p w:rsidR="00297CC5" w:rsidRPr="00297CC5" w:rsidRDefault="00297CC5" w:rsidP="001F4018">
            <w:pPr>
              <w:rPr>
                <w:rFonts w:eastAsia="Times New Roman" w:cs="Calibri"/>
                <w:color w:val="000000"/>
                <w:lang w:val="en-GB"/>
              </w:rPr>
            </w:pPr>
            <w:r w:rsidRPr="00297CC5">
              <w:rPr>
                <w:rFonts w:eastAsia="Times New Roman" w:cs="Calibri"/>
                <w:color w:val="000000"/>
                <w:lang w:val="en-GB"/>
              </w:rPr>
              <w:t>SNP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9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18.7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18.6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17.8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19.7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17.9</w:t>
            </w:r>
          </w:p>
        </w:tc>
        <w:tc>
          <w:tcPr>
            <w:tcW w:w="960" w:type="dxa"/>
            <w:noWrap/>
            <w:hideMark/>
          </w:tcPr>
          <w:p w:rsidR="00297CC5" w:rsidRPr="00297CC5" w:rsidRDefault="00297CC5">
            <w:pPr>
              <w:jc w:val="right"/>
              <w:cnfStyle w:val="000000100000"/>
              <w:rPr>
                <w:rFonts w:cs="Arial"/>
                <w:b/>
                <w:color w:val="000000"/>
              </w:rPr>
            </w:pPr>
            <w:r w:rsidRPr="00297CC5">
              <w:rPr>
                <w:rFonts w:cs="Arial"/>
                <w:b/>
                <w:color w:val="000000"/>
              </w:rPr>
              <w:t>17.2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right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16.6</w:t>
            </w:r>
          </w:p>
        </w:tc>
      </w:tr>
      <w:tr w:rsidR="00297CC5" w:rsidRPr="00297CC5" w:rsidTr="0072186E">
        <w:trPr>
          <w:trHeight w:val="300"/>
        </w:trPr>
        <w:tc>
          <w:tcPr>
            <w:cnfStyle w:val="001000000000"/>
            <w:tcW w:w="1301" w:type="dxa"/>
            <w:noWrap/>
            <w:hideMark/>
          </w:tcPr>
          <w:p w:rsidR="00297CC5" w:rsidRPr="00297CC5" w:rsidRDefault="00297CC5" w:rsidP="001F4018">
            <w:pPr>
              <w:rPr>
                <w:rFonts w:eastAsia="Times New Roman" w:cs="Calibri"/>
                <w:color w:val="000000"/>
                <w:lang w:val="en-GB"/>
              </w:rPr>
            </w:pPr>
            <w:r w:rsidRPr="00297CC5">
              <w:rPr>
                <w:rFonts w:eastAsia="Times New Roman" w:cs="Calibri"/>
                <w:color w:val="000000"/>
                <w:lang w:val="en-GB"/>
              </w:rPr>
              <w:t>NOVA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15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8.3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8.1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9.2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6.1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8.2</w:t>
            </w:r>
          </w:p>
        </w:tc>
        <w:tc>
          <w:tcPr>
            <w:tcW w:w="960" w:type="dxa"/>
            <w:noWrap/>
            <w:hideMark/>
          </w:tcPr>
          <w:p w:rsidR="00297CC5" w:rsidRPr="00297CC5" w:rsidRDefault="00297CC5">
            <w:pPr>
              <w:jc w:val="right"/>
              <w:cnfStyle w:val="000000000000"/>
              <w:rPr>
                <w:rFonts w:cs="Arial"/>
                <w:b/>
                <w:color w:val="000000"/>
              </w:rPr>
            </w:pPr>
            <w:r w:rsidRPr="00297CC5">
              <w:rPr>
                <w:rFonts w:cs="Arial"/>
                <w:b/>
                <w:color w:val="000000"/>
              </w:rPr>
              <w:t>9.1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right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8.5</w:t>
            </w:r>
          </w:p>
        </w:tc>
      </w:tr>
      <w:tr w:rsidR="00297CC5" w:rsidRPr="00297CC5" w:rsidTr="0072186E">
        <w:trPr>
          <w:cnfStyle w:val="000000100000"/>
          <w:trHeight w:val="300"/>
        </w:trPr>
        <w:tc>
          <w:tcPr>
            <w:cnfStyle w:val="001000000000"/>
            <w:tcW w:w="1301" w:type="dxa"/>
            <w:noWrap/>
            <w:hideMark/>
          </w:tcPr>
          <w:p w:rsidR="00297CC5" w:rsidRPr="00297CC5" w:rsidRDefault="00297CC5" w:rsidP="001F4018">
            <w:pPr>
              <w:rPr>
                <w:rFonts w:eastAsia="Times New Roman" w:cs="Calibri"/>
                <w:color w:val="000000"/>
                <w:lang w:val="en-GB"/>
              </w:rPr>
            </w:pPr>
            <w:r w:rsidRPr="00297CC5">
              <w:rPr>
                <w:rFonts w:eastAsia="Times New Roman" w:cs="Calibri"/>
                <w:color w:val="000000"/>
                <w:lang w:val="en-GB"/>
              </w:rPr>
              <w:t>PZP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12.2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5.5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4.9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4.7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6.9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center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7.7</w:t>
            </w:r>
          </w:p>
        </w:tc>
        <w:tc>
          <w:tcPr>
            <w:tcW w:w="960" w:type="dxa"/>
            <w:noWrap/>
            <w:hideMark/>
          </w:tcPr>
          <w:p w:rsidR="00297CC5" w:rsidRPr="00297CC5" w:rsidRDefault="00297CC5">
            <w:pPr>
              <w:jc w:val="right"/>
              <w:cnfStyle w:val="000000100000"/>
              <w:rPr>
                <w:rFonts w:cs="Arial"/>
                <w:b/>
                <w:color w:val="000000"/>
              </w:rPr>
            </w:pPr>
            <w:r w:rsidRPr="00297CC5">
              <w:rPr>
                <w:rFonts w:cs="Arial"/>
                <w:b/>
                <w:color w:val="000000"/>
              </w:rPr>
              <w:t>6.8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right"/>
              <w:cnfStyle w:val="0000001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7.9</w:t>
            </w:r>
          </w:p>
        </w:tc>
      </w:tr>
      <w:tr w:rsidR="00297CC5" w:rsidRPr="00297CC5" w:rsidTr="0072186E">
        <w:trPr>
          <w:trHeight w:val="300"/>
        </w:trPr>
        <w:tc>
          <w:tcPr>
            <w:cnfStyle w:val="001000000000"/>
            <w:tcW w:w="1301" w:type="dxa"/>
            <w:noWrap/>
            <w:hideMark/>
          </w:tcPr>
          <w:p w:rsidR="00297CC5" w:rsidRPr="00297CC5" w:rsidRDefault="00297CC5" w:rsidP="001F4018">
            <w:pPr>
              <w:rPr>
                <w:rFonts w:eastAsia="Times New Roman" w:cs="Calibri"/>
                <w:color w:val="000000"/>
                <w:lang w:val="en-GB"/>
              </w:rPr>
            </w:pPr>
            <w:r w:rsidRPr="00297CC5">
              <w:rPr>
                <w:rFonts w:eastAsia="Times New Roman" w:cs="Calibri"/>
                <w:color w:val="000000"/>
                <w:lang w:val="en-GB"/>
              </w:rPr>
              <w:t>POSITIVE</w:t>
            </w: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cnfStyle w:val="000000000000"/>
              <w:rPr>
                <w:b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cnfStyle w:val="000000000000"/>
              <w:rPr>
                <w:b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cnfStyle w:val="000000000000"/>
              <w:rPr>
                <w:b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cnfStyle w:val="000000000000"/>
              <w:rPr>
                <w:b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cnfStyle w:val="000000000000"/>
              <w:rPr>
                <w:b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cnfStyle w:val="000000000000"/>
              <w:rPr>
                <w:b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cnfStyle w:val="000000000000"/>
              <w:rPr>
                <w:b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97CC5" w:rsidRPr="00297CC5" w:rsidRDefault="00297CC5">
            <w:pPr>
              <w:jc w:val="right"/>
              <w:cnfStyle w:val="000000000000"/>
              <w:rPr>
                <w:b/>
                <w:color w:val="000000"/>
              </w:rPr>
            </w:pPr>
            <w:r w:rsidRPr="00297CC5">
              <w:rPr>
                <w:b/>
                <w:color w:val="000000"/>
              </w:rPr>
              <w:t>7.5</w:t>
            </w:r>
          </w:p>
        </w:tc>
      </w:tr>
    </w:tbl>
    <w:p w:rsidR="00064527" w:rsidRPr="00297CC5" w:rsidRDefault="00064527" w:rsidP="00064527">
      <w:pPr>
        <w:spacing w:after="0" w:line="240" w:lineRule="auto"/>
        <w:rPr>
          <w:rFonts w:eastAsia="Times New Roman" w:cs="Calibri"/>
          <w:b/>
          <w:color w:val="000000"/>
          <w:lang w:val="en-GB"/>
        </w:rPr>
      </w:pPr>
    </w:p>
    <w:p w:rsidR="00064527" w:rsidRPr="00297CC5" w:rsidRDefault="00064527" w:rsidP="00064527">
      <w:pPr>
        <w:spacing w:after="0" w:line="240" w:lineRule="auto"/>
        <w:rPr>
          <w:rFonts w:eastAsia="Times New Roman" w:cs="Calibri"/>
          <w:b/>
          <w:color w:val="000000"/>
          <w:lang w:val="en-GB"/>
        </w:rPr>
      </w:pPr>
    </w:p>
    <w:p w:rsidR="00064527" w:rsidRPr="00EE25A9" w:rsidRDefault="00064527" w:rsidP="00064527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/>
        </w:rPr>
      </w:pPr>
    </w:p>
    <w:p w:rsidR="00064527" w:rsidRPr="00EE25A9" w:rsidRDefault="00297CC5" w:rsidP="00064527">
      <w:pPr>
        <w:spacing w:after="0" w:line="240" w:lineRule="auto"/>
        <w:rPr>
          <w:rFonts w:ascii="Calibri" w:eastAsia="Times New Roman" w:hAnsi="Calibri" w:cs="Calibri"/>
          <w:b/>
          <w:caps/>
          <w:color w:val="000000"/>
          <w:sz w:val="28"/>
          <w:szCs w:val="28"/>
          <w:lang w:val="en-GB"/>
        </w:rPr>
      </w:pPr>
      <w:r>
        <w:rPr>
          <w:rFonts w:ascii="Calibri" w:eastAsia="Times New Roman" w:hAnsi="Calibri" w:cs="Calibri"/>
          <w:b/>
          <w:caps/>
          <w:color w:val="000000"/>
          <w:sz w:val="28"/>
          <w:szCs w:val="28"/>
          <w:lang w:val="en-GB"/>
        </w:rPr>
        <w:t>6.2. IN YOUR OPINION, WHICH PARTY WILL WIN ON THE NEXT ELECTIONS ReGARDLESS OF THE PARTY YOU GIVE VOTE TO</w:t>
      </w:r>
      <w:r w:rsidR="00064527" w:rsidRPr="00EE25A9">
        <w:rPr>
          <w:rFonts w:ascii="Calibri" w:eastAsia="Times New Roman" w:hAnsi="Calibri" w:cs="Calibri"/>
          <w:b/>
          <w:caps/>
          <w:color w:val="000000"/>
          <w:sz w:val="28"/>
          <w:szCs w:val="28"/>
          <w:lang w:val="en-GB"/>
        </w:rPr>
        <w:t>?  - %</w:t>
      </w:r>
    </w:p>
    <w:p w:rsidR="00064527" w:rsidRPr="00EE25A9" w:rsidRDefault="00064527" w:rsidP="00064527">
      <w:pPr>
        <w:spacing w:after="0" w:line="240" w:lineRule="auto"/>
        <w:rPr>
          <w:rFonts w:ascii="Calibri" w:eastAsia="Times New Roman" w:hAnsi="Calibri" w:cs="Calibri"/>
          <w:color w:val="000000"/>
          <w:lang w:val="en-GB"/>
        </w:rPr>
      </w:pPr>
    </w:p>
    <w:p w:rsidR="00064527" w:rsidRPr="00EE25A9" w:rsidRDefault="00297CC5" w:rsidP="00064527">
      <w:pPr>
        <w:spacing w:after="0" w:line="240" w:lineRule="auto"/>
        <w:rPr>
          <w:rFonts w:ascii="Calibri" w:eastAsia="Times New Roman" w:hAnsi="Calibri" w:cs="Calibri"/>
          <w:color w:val="000000"/>
          <w:lang w:val="en-GB"/>
        </w:rPr>
      </w:pPr>
      <w:r w:rsidRPr="00297CC5"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4733925" cy="3248025"/>
            <wp:effectExtent l="19050" t="0" r="9525" b="0"/>
            <wp:docPr id="28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64527" w:rsidRPr="00EE25A9" w:rsidRDefault="00064527" w:rsidP="00064527">
      <w:pPr>
        <w:spacing w:after="0" w:line="240" w:lineRule="auto"/>
        <w:rPr>
          <w:rFonts w:ascii="Calibri" w:eastAsia="Times New Roman" w:hAnsi="Calibri" w:cs="Calibri"/>
          <w:color w:val="000000"/>
          <w:lang w:val="en-GB"/>
        </w:rPr>
      </w:pPr>
    </w:p>
    <w:p w:rsidR="00064527" w:rsidRPr="00EE25A9" w:rsidRDefault="00064527" w:rsidP="00064527">
      <w:pPr>
        <w:spacing w:after="0" w:line="240" w:lineRule="auto"/>
        <w:rPr>
          <w:rFonts w:ascii="Calibri" w:eastAsia="Times New Roman" w:hAnsi="Calibri" w:cs="Calibri"/>
          <w:color w:val="000000"/>
          <w:lang w:val="en-GB"/>
        </w:rPr>
      </w:pPr>
    </w:p>
    <w:p w:rsidR="00064527" w:rsidRPr="00EE25A9" w:rsidRDefault="00064527" w:rsidP="00064527">
      <w:pPr>
        <w:spacing w:after="0" w:line="240" w:lineRule="auto"/>
        <w:rPr>
          <w:rFonts w:ascii="Calibri" w:eastAsia="Times New Roman" w:hAnsi="Calibri" w:cs="Calibri"/>
          <w:color w:val="000000"/>
          <w:lang w:val="en-GB"/>
        </w:rPr>
      </w:pPr>
    </w:p>
    <w:p w:rsidR="00064527" w:rsidRPr="00EE25A9" w:rsidRDefault="00064527" w:rsidP="00064527">
      <w:pPr>
        <w:spacing w:after="0" w:line="240" w:lineRule="auto"/>
        <w:rPr>
          <w:rFonts w:ascii="Calibri" w:eastAsia="Times New Roman" w:hAnsi="Calibri" w:cs="Calibri"/>
          <w:color w:val="000000"/>
          <w:lang w:val="en-GB"/>
        </w:rPr>
      </w:pPr>
    </w:p>
    <w:p w:rsidR="00064527" w:rsidRPr="00EE25A9" w:rsidRDefault="00064527" w:rsidP="00064527">
      <w:pPr>
        <w:rPr>
          <w:lang w:val="en-GB"/>
        </w:rPr>
      </w:pPr>
    </w:p>
    <w:p w:rsidR="00B74A92" w:rsidRPr="00EE25A9" w:rsidRDefault="00B74A92">
      <w:pPr>
        <w:rPr>
          <w:lang w:val="en-GB"/>
        </w:rPr>
      </w:pPr>
    </w:p>
    <w:sectPr w:rsidR="00B74A92" w:rsidRPr="00EE25A9" w:rsidSect="00A431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C7" w:rsidRDefault="000B75C7" w:rsidP="00064527">
      <w:pPr>
        <w:spacing w:after="0" w:line="240" w:lineRule="auto"/>
      </w:pPr>
      <w:r>
        <w:separator/>
      </w:r>
    </w:p>
  </w:endnote>
  <w:endnote w:type="continuationSeparator" w:id="1">
    <w:p w:rsidR="000B75C7" w:rsidRDefault="000B75C7" w:rsidP="0006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C5" w:rsidRDefault="00297C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85" w:rsidRDefault="007952C1" w:rsidP="007952C1">
    <w:pPr>
      <w:pStyle w:val="Footer"/>
      <w:jc w:val="center"/>
    </w:pPr>
    <w:r>
      <w:t>Centre for Democracy and Human Rights</w:t>
    </w:r>
    <w:r w:rsidR="00297CC5">
      <w:t xml:space="preserve"> (CEDEM) </w:t>
    </w:r>
    <w:r w:rsidR="000B75C7">
      <w:t>-  Podgorica</w:t>
    </w:r>
  </w:p>
  <w:p w:rsidR="00CD1BDC" w:rsidRDefault="00DF7D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19160"/>
      <w:docPartObj>
        <w:docPartGallery w:val="Page Numbers (Bottom of Page)"/>
        <w:docPartUnique/>
      </w:docPartObj>
    </w:sdtPr>
    <w:sdtContent>
      <w:p w:rsidR="00EB6A32" w:rsidRDefault="000934CD">
        <w:pPr>
          <w:pStyle w:val="Footer"/>
          <w:jc w:val="center"/>
        </w:pPr>
      </w:p>
    </w:sdtContent>
  </w:sdt>
  <w:p w:rsidR="00EB6A32" w:rsidRDefault="00DF7D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C7" w:rsidRDefault="000B75C7" w:rsidP="00064527">
      <w:pPr>
        <w:spacing w:after="0" w:line="240" w:lineRule="auto"/>
      </w:pPr>
      <w:r>
        <w:separator/>
      </w:r>
    </w:p>
  </w:footnote>
  <w:footnote w:type="continuationSeparator" w:id="1">
    <w:p w:rsidR="000B75C7" w:rsidRDefault="000B75C7" w:rsidP="0006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C5" w:rsidRDefault="00297C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i/>
        <w:sz w:val="20"/>
        <w:szCs w:val="20"/>
      </w:rPr>
      <w:alias w:val="Title"/>
      <w:id w:val="79519159"/>
      <w:placeholder>
        <w:docPart w:val="892C48D3FBE64E3CB353865BB04E4C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3185" w:rsidRPr="007952C1" w:rsidRDefault="00064527" w:rsidP="00064527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eastAsiaTheme="majorEastAsia" w:cstheme="majorBidi"/>
            <w:i/>
            <w:sz w:val="20"/>
            <w:szCs w:val="20"/>
          </w:rPr>
        </w:pPr>
        <w:r w:rsidRPr="007952C1">
          <w:rPr>
            <w:rFonts w:eastAsiaTheme="majorEastAsia" w:cstheme="majorBidi"/>
            <w:i/>
            <w:sz w:val="20"/>
            <w:szCs w:val="20"/>
          </w:rPr>
          <w:t>Political Public Opinion, July 2012</w:t>
        </w:r>
      </w:p>
    </w:sdtContent>
  </w:sdt>
  <w:p w:rsidR="00064527" w:rsidRDefault="000645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C5" w:rsidRDefault="00297C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527"/>
    <w:rsid w:val="00064527"/>
    <w:rsid w:val="000934CD"/>
    <w:rsid w:val="000B75C7"/>
    <w:rsid w:val="001D7F85"/>
    <w:rsid w:val="00297CC5"/>
    <w:rsid w:val="007952C1"/>
    <w:rsid w:val="00B74A92"/>
    <w:rsid w:val="00DA4184"/>
    <w:rsid w:val="00DF7DD8"/>
    <w:rsid w:val="00EE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0645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0645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645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27"/>
  </w:style>
  <w:style w:type="paragraph" w:styleId="Footer">
    <w:name w:val="footer"/>
    <w:basedOn w:val="Normal"/>
    <w:link w:val="FooterChar"/>
    <w:uiPriority w:val="99"/>
    <w:unhideWhenUsed/>
    <w:rsid w:val="000645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27"/>
  </w:style>
  <w:style w:type="paragraph" w:styleId="BalloonText">
    <w:name w:val="Balloon Text"/>
    <w:basedOn w:val="Normal"/>
    <w:link w:val="BalloonTextChar"/>
    <w:uiPriority w:val="99"/>
    <w:semiHidden/>
    <w:unhideWhenUsed/>
    <w:rsid w:val="0006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0.xm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hart" Target="charts/chart5.xm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zena\AppData\Local\Temp\Temp2_istrazivanjeiostalo.zip\Jul,%202012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zena\AppData\Local\Temp\Temp2_istrazivanjeiostalo.zip\Jul,%202012.xlsx" TargetMode="External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zena\AppData\Local\Temp\Temp2_istrazivanjeiostalo.zip\Jul,%20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zena\AppData\Local\Temp\Temp2_istrazivanjeiostalo.zip\Jul,%20201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zena\AppData\Local\Temp\Temp2_istrazivanjeiostalo.zip\Jul,%20201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zena\AppData\Local\Temp\Temp2_istrazivanjeiostalo.zip\Jul,%20201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zena\AppData\Local\Temp\Temp2_istrazivanjeiostalo.zip\Jul,%202012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zena\AppData\Local\Temp\Temp2_istrazivanjeiostalo.zip\Jul,%202012.xlsx" TargetMode="External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istrator\Jul,%202012.xlsx" TargetMode="External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zena\AppData\Local\Temp\Temp2_istrazivanjeiostalo.zip\Jul,%202012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Sheet1!$B$3:$B$5</c:f>
              <c:strCache>
                <c:ptCount val="3"/>
                <c:pt idx="0">
                  <c:v>The right direction</c:v>
                </c:pt>
                <c:pt idx="1">
                  <c:v>The wrong direction</c:v>
                </c:pt>
                <c:pt idx="2">
                  <c:v>I don't know, I can't assess</c:v>
                </c:pt>
              </c:strCache>
            </c:strRef>
          </c:cat>
          <c:val>
            <c:numRef>
              <c:f>Sheet1!$C$3:$C$5</c:f>
              <c:numCache>
                <c:formatCode>0.0</c:formatCode>
                <c:ptCount val="3"/>
                <c:pt idx="0">
                  <c:v>37.800000000000004</c:v>
                </c:pt>
                <c:pt idx="1">
                  <c:v>39.5</c:v>
                </c:pt>
                <c:pt idx="2">
                  <c:v>22.7</c:v>
                </c:pt>
              </c:numCache>
            </c:numRef>
          </c:val>
        </c:ser>
        <c:dLbls>
          <c:showVal val="1"/>
        </c:dLbls>
        <c:overlap val="-25"/>
        <c:axId val="68898176"/>
        <c:axId val="68924544"/>
      </c:barChart>
      <c:catAx>
        <c:axId val="68898176"/>
        <c:scaling>
          <c:orientation val="minMax"/>
        </c:scaling>
        <c:axPos val="b"/>
        <c:majorTickMark val="none"/>
        <c:tickLblPos val="nextTo"/>
        <c:crossAx val="68924544"/>
        <c:crosses val="autoZero"/>
        <c:auto val="1"/>
        <c:lblAlgn val="ctr"/>
        <c:lblOffset val="100"/>
      </c:catAx>
      <c:valAx>
        <c:axId val="68924544"/>
        <c:scaling>
          <c:orientation val="minMax"/>
        </c:scaling>
        <c:delete val="1"/>
        <c:axPos val="l"/>
        <c:numFmt formatCode="0.0" sourceLinked="1"/>
        <c:tickLblPos val="none"/>
        <c:crossAx val="68898176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Sheet7!$B$3:$B$12</c:f>
              <c:strCache>
                <c:ptCount val="10"/>
                <c:pt idx="0">
                  <c:v>DPS</c:v>
                </c:pt>
                <c:pt idx="1">
                  <c:v>SDP</c:v>
                </c:pt>
                <c:pt idx="2">
                  <c:v>SNP</c:v>
                </c:pt>
                <c:pt idx="3">
                  <c:v>NOVA</c:v>
                </c:pt>
                <c:pt idx="4">
                  <c:v>PZP</c:v>
                </c:pt>
                <c:pt idx="5">
                  <c:v>Positive Montenegro</c:v>
                </c:pt>
                <c:pt idx="6">
                  <c:v>Montenegro of Justice</c:v>
                </c:pt>
                <c:pt idx="7">
                  <c:v>Bosniak Party</c:v>
                </c:pt>
                <c:pt idx="8">
                  <c:v>I would not vote</c:v>
                </c:pt>
                <c:pt idx="9">
                  <c:v>No answer</c:v>
                </c:pt>
              </c:strCache>
            </c:strRef>
          </c:cat>
          <c:val>
            <c:numRef>
              <c:f>Sheet7!$C$3:$C$12</c:f>
              <c:numCache>
                <c:formatCode>0.0</c:formatCode>
                <c:ptCount val="10"/>
                <c:pt idx="0">
                  <c:v>57.612485311113147</c:v>
                </c:pt>
                <c:pt idx="1">
                  <c:v>2.4560790140721829</c:v>
                </c:pt>
                <c:pt idx="2">
                  <c:v>3.2359253755984647</c:v>
                </c:pt>
                <c:pt idx="3">
                  <c:v>1.2867950548223193</c:v>
                </c:pt>
                <c:pt idx="4">
                  <c:v>1.9170818401654774</c:v>
                </c:pt>
                <c:pt idx="5">
                  <c:v>0.62543095494760259</c:v>
                </c:pt>
                <c:pt idx="6">
                  <c:v>7.6722120249783574E-2</c:v>
                </c:pt>
                <c:pt idx="7">
                  <c:v>0.45159222678670069</c:v>
                </c:pt>
                <c:pt idx="8">
                  <c:v>6.0212296904893457E-2</c:v>
                </c:pt>
                <c:pt idx="9">
                  <c:v>32.277675805339435</c:v>
                </c:pt>
              </c:numCache>
            </c:numRef>
          </c:val>
        </c:ser>
        <c:dLbls>
          <c:showVal val="1"/>
        </c:dLbls>
        <c:overlap val="-25"/>
        <c:axId val="70851584"/>
        <c:axId val="70882048"/>
      </c:barChart>
      <c:catAx>
        <c:axId val="70851584"/>
        <c:scaling>
          <c:orientation val="minMax"/>
        </c:scaling>
        <c:axPos val="l"/>
        <c:majorTickMark val="none"/>
        <c:tickLblPos val="nextTo"/>
        <c:crossAx val="70882048"/>
        <c:crosses val="autoZero"/>
        <c:auto val="1"/>
        <c:lblAlgn val="ctr"/>
        <c:lblOffset val="100"/>
      </c:catAx>
      <c:valAx>
        <c:axId val="70882048"/>
        <c:scaling>
          <c:orientation val="minMax"/>
        </c:scaling>
        <c:delete val="1"/>
        <c:axPos val="b"/>
        <c:numFmt formatCode="0.0" sourceLinked="1"/>
        <c:tickLblPos val="none"/>
        <c:crossAx val="70851584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dLbls>
            <c:dLbl>
              <c:idx val="6"/>
              <c:layout>
                <c:manualLayout>
                  <c:x val="-1.1318619128466326E-2"/>
                  <c:y val="5.5555555555555539E-2"/>
                </c:manualLayout>
              </c:layout>
              <c:showVal val="1"/>
            </c:dLbl>
            <c:showVal val="1"/>
          </c:dLbls>
          <c:cat>
            <c:strRef>
              <c:f>Sheet1!$B$12:$B$18</c:f>
              <c:strCache>
                <c:ptCount val="7"/>
                <c:pt idx="0">
                  <c:v>October, 2009</c:v>
                </c:pt>
                <c:pt idx="1">
                  <c:v>July, 2010</c:v>
                </c:pt>
                <c:pt idx="2">
                  <c:v>November, 2010</c:v>
                </c:pt>
                <c:pt idx="3">
                  <c:v>December, 2010</c:v>
                </c:pt>
                <c:pt idx="4">
                  <c:v>September, 2011</c:v>
                </c:pt>
                <c:pt idx="5">
                  <c:v>December, 2011</c:v>
                </c:pt>
                <c:pt idx="6">
                  <c:v>July, 2012</c:v>
                </c:pt>
              </c:strCache>
            </c:strRef>
          </c:cat>
          <c:val>
            <c:numRef>
              <c:f>Sheet1!$C$12:$C$18</c:f>
              <c:numCache>
                <c:formatCode>General</c:formatCode>
                <c:ptCount val="7"/>
                <c:pt idx="0">
                  <c:v>41.5</c:v>
                </c:pt>
                <c:pt idx="1">
                  <c:v>42.2</c:v>
                </c:pt>
                <c:pt idx="2">
                  <c:v>46.4</c:v>
                </c:pt>
                <c:pt idx="3" formatCode="0.0">
                  <c:v>46.782861292665146</c:v>
                </c:pt>
                <c:pt idx="4" formatCode="0.0">
                  <c:v>45.241699196231735</c:v>
                </c:pt>
                <c:pt idx="5" formatCode="####.0">
                  <c:v>47.227199365554199</c:v>
                </c:pt>
                <c:pt idx="6">
                  <c:v>37.800000000000004</c:v>
                </c:pt>
              </c:numCache>
            </c:numRef>
          </c:val>
        </c:ser>
        <c:ser>
          <c:idx val="1"/>
          <c:order val="1"/>
          <c:dLbls>
            <c:dLbl>
              <c:idx val="6"/>
              <c:layout>
                <c:manualLayout>
                  <c:x val="-1.1318619128466326E-2"/>
                  <c:y val="-5.5555555555555455E-2"/>
                </c:manualLayout>
              </c:layout>
              <c:showVal val="1"/>
            </c:dLbl>
            <c:showVal val="1"/>
          </c:dLbls>
          <c:cat>
            <c:strRef>
              <c:f>Sheet1!$B$12:$B$18</c:f>
              <c:strCache>
                <c:ptCount val="7"/>
                <c:pt idx="0">
                  <c:v>October, 2009</c:v>
                </c:pt>
                <c:pt idx="1">
                  <c:v>July, 2010</c:v>
                </c:pt>
                <c:pt idx="2">
                  <c:v>November, 2010</c:v>
                </c:pt>
                <c:pt idx="3">
                  <c:v>December, 2010</c:v>
                </c:pt>
                <c:pt idx="4">
                  <c:v>September, 2011</c:v>
                </c:pt>
                <c:pt idx="5">
                  <c:v>December, 2011</c:v>
                </c:pt>
                <c:pt idx="6">
                  <c:v>July, 2012</c:v>
                </c:pt>
              </c:strCache>
            </c:strRef>
          </c:cat>
          <c:val>
            <c:numRef>
              <c:f>Sheet1!$D$12:$D$18</c:f>
              <c:numCache>
                <c:formatCode>General</c:formatCode>
                <c:ptCount val="7"/>
                <c:pt idx="0">
                  <c:v>24.5</c:v>
                </c:pt>
                <c:pt idx="1">
                  <c:v>25.3</c:v>
                </c:pt>
                <c:pt idx="2">
                  <c:v>21.5</c:v>
                </c:pt>
                <c:pt idx="3" formatCode="0.0">
                  <c:v>24.9479544904382</c:v>
                </c:pt>
                <c:pt idx="4" formatCode="0.0">
                  <c:v>22.664353301310964</c:v>
                </c:pt>
                <c:pt idx="5" formatCode="####.0">
                  <c:v>21.526635104398441</c:v>
                </c:pt>
                <c:pt idx="6">
                  <c:v>39.5</c:v>
                </c:pt>
              </c:numCache>
            </c:numRef>
          </c:val>
        </c:ser>
        <c:dLbls>
          <c:showVal val="1"/>
        </c:dLbls>
        <c:marker val="1"/>
        <c:axId val="27932160"/>
        <c:axId val="27933696"/>
      </c:lineChart>
      <c:catAx>
        <c:axId val="27932160"/>
        <c:scaling>
          <c:orientation val="minMax"/>
        </c:scaling>
        <c:axPos val="b"/>
        <c:majorTickMark val="none"/>
        <c:tickLblPos val="nextTo"/>
        <c:crossAx val="27933696"/>
        <c:crosses val="autoZero"/>
        <c:auto val="1"/>
        <c:lblAlgn val="ctr"/>
        <c:lblOffset val="100"/>
      </c:catAx>
      <c:valAx>
        <c:axId val="2793369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2793216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4364557878541045"/>
                  <c:y val="-0.16220873861355567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2033464566929138"/>
                  <c:y val="-1.5208893006021306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4308602588469546"/>
                  <c:y val="0.17745098039215704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Sheet16!$D$5:$D$7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I have no specific opinion</c:v>
                </c:pt>
              </c:strCache>
            </c:strRef>
          </c:cat>
          <c:val>
            <c:numRef>
              <c:f>Sheet16!$E$5:$E$7</c:f>
              <c:numCache>
                <c:formatCode>0.0</c:formatCode>
                <c:ptCount val="3"/>
                <c:pt idx="0">
                  <c:v>65.5</c:v>
                </c:pt>
                <c:pt idx="1">
                  <c:v>18.3</c:v>
                </c:pt>
                <c:pt idx="2">
                  <c:v>16.2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dLbls>
            <c:showVal val="1"/>
          </c:dLbls>
          <c:cat>
            <c:strRef>
              <c:f>Sheet16!$B$13:$L$13</c:f>
              <c:strCache>
                <c:ptCount val="11"/>
                <c:pt idx="0">
                  <c:v>Oct ’07</c:v>
                </c:pt>
                <c:pt idx="1">
                  <c:v>Feb ’08</c:v>
                </c:pt>
                <c:pt idx="2">
                  <c:v>Jun ’08</c:v>
                </c:pt>
                <c:pt idx="3">
                  <c:v>Nov ’08</c:v>
                </c:pt>
                <c:pt idx="4">
                  <c:v>Mar ’09</c:v>
                </c:pt>
                <c:pt idx="5">
                  <c:v>Oct ’09</c:v>
                </c:pt>
                <c:pt idx="6">
                  <c:v>Oct ’10</c:v>
                </c:pt>
                <c:pt idx="7">
                  <c:v>Dec '10</c:v>
                </c:pt>
                <c:pt idx="8">
                  <c:v>Sep '11</c:v>
                </c:pt>
                <c:pt idx="9">
                  <c:v>Dec '11</c:v>
                </c:pt>
                <c:pt idx="10">
                  <c:v>Jul '12</c:v>
                </c:pt>
              </c:strCache>
            </c:strRef>
          </c:cat>
          <c:val>
            <c:numRef>
              <c:f>Sheet16!$B$14:$L$14</c:f>
              <c:numCache>
                <c:formatCode>General</c:formatCode>
                <c:ptCount val="11"/>
                <c:pt idx="0">
                  <c:v>72.400000000000006</c:v>
                </c:pt>
                <c:pt idx="1">
                  <c:v>72.8</c:v>
                </c:pt>
                <c:pt idx="2">
                  <c:v>70.8</c:v>
                </c:pt>
                <c:pt idx="3">
                  <c:v>73.900000000000006</c:v>
                </c:pt>
                <c:pt idx="4">
                  <c:v>75.900000000000006</c:v>
                </c:pt>
                <c:pt idx="5">
                  <c:v>76.099999999999994</c:v>
                </c:pt>
                <c:pt idx="6">
                  <c:v>70.400000000000006</c:v>
                </c:pt>
                <c:pt idx="7">
                  <c:v>70.3</c:v>
                </c:pt>
                <c:pt idx="8">
                  <c:v>62.3</c:v>
                </c:pt>
                <c:pt idx="9">
                  <c:v>70.400000000000006</c:v>
                </c:pt>
                <c:pt idx="10">
                  <c:v>65.5</c:v>
                </c:pt>
              </c:numCache>
            </c:numRef>
          </c:val>
        </c:ser>
        <c:dLbls>
          <c:showVal val="1"/>
        </c:dLbls>
        <c:marker val="1"/>
        <c:axId val="69468544"/>
        <c:axId val="69470080"/>
      </c:lineChart>
      <c:catAx>
        <c:axId val="69468544"/>
        <c:scaling>
          <c:orientation val="minMax"/>
        </c:scaling>
        <c:axPos val="b"/>
        <c:majorTickMark val="none"/>
        <c:tickLblPos val="nextTo"/>
        <c:crossAx val="69470080"/>
        <c:crosses val="autoZero"/>
        <c:auto val="1"/>
        <c:lblAlgn val="ctr"/>
        <c:lblOffset val="100"/>
      </c:catAx>
      <c:valAx>
        <c:axId val="69470080"/>
        <c:scaling>
          <c:orientation val="minMax"/>
          <c:min val="55"/>
        </c:scaling>
        <c:delete val="1"/>
        <c:axPos val="l"/>
        <c:numFmt formatCode="General" sourceLinked="1"/>
        <c:majorTickMark val="none"/>
        <c:tickLblPos val="none"/>
        <c:crossAx val="6946854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5253513522079518"/>
                  <c:y val="7.9149042904074707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9.6034100633430097E-2"/>
                  <c:y val="-0.19201683384219975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3536681442174039"/>
                  <c:y val="0.2036315640260367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Sheet17!$C$4:$C$6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I have no attitude</c:v>
                </c:pt>
              </c:strCache>
            </c:strRef>
          </c:cat>
          <c:val>
            <c:numRef>
              <c:f>Sheet17!$D$4:$D$6</c:f>
              <c:numCache>
                <c:formatCode>General</c:formatCode>
                <c:ptCount val="3"/>
                <c:pt idx="0">
                  <c:v>37.300000000000004</c:v>
                </c:pt>
                <c:pt idx="1">
                  <c:v>42.4</c:v>
                </c:pt>
                <c:pt idx="2">
                  <c:v>20.3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Sheet17!$B$16</c:f>
              <c:strCache>
                <c:ptCount val="1"/>
                <c:pt idx="0">
                  <c:v>YES</c:v>
                </c:pt>
              </c:strCache>
            </c:strRef>
          </c:tx>
          <c:dLbls>
            <c:showVal val="1"/>
          </c:dLbls>
          <c:cat>
            <c:strRef>
              <c:f>Sheet17!$C$15:$N$15</c:f>
              <c:strCache>
                <c:ptCount val="12"/>
                <c:pt idx="0">
                  <c:v>Feb ’08</c:v>
                </c:pt>
                <c:pt idx="1">
                  <c:v>Jun ’08</c:v>
                </c:pt>
                <c:pt idx="2">
                  <c:v>Nov ’08</c:v>
                </c:pt>
                <c:pt idx="3">
                  <c:v>Mar ’09</c:v>
                </c:pt>
                <c:pt idx="4">
                  <c:v>Jun ’09</c:v>
                </c:pt>
                <c:pt idx="5">
                  <c:v>Oct '09</c:v>
                </c:pt>
                <c:pt idx="6">
                  <c:v>Jul ’ 10</c:v>
                </c:pt>
                <c:pt idx="7">
                  <c:v>Oct '10</c:v>
                </c:pt>
                <c:pt idx="8">
                  <c:v>Dec '10</c:v>
                </c:pt>
                <c:pt idx="9">
                  <c:v>Sep '11</c:v>
                </c:pt>
                <c:pt idx="10">
                  <c:v>Dec '11</c:v>
                </c:pt>
                <c:pt idx="11">
                  <c:v>Jul '12</c:v>
                </c:pt>
              </c:strCache>
            </c:strRef>
          </c:cat>
          <c:val>
            <c:numRef>
              <c:f>Sheet17!$C$16:$N$16</c:f>
              <c:numCache>
                <c:formatCode>General</c:formatCode>
                <c:ptCount val="12"/>
                <c:pt idx="0">
                  <c:v>29.5</c:v>
                </c:pt>
                <c:pt idx="1">
                  <c:v>26.3</c:v>
                </c:pt>
                <c:pt idx="2">
                  <c:v>26.9</c:v>
                </c:pt>
                <c:pt idx="3">
                  <c:v>31.2</c:v>
                </c:pt>
                <c:pt idx="4">
                  <c:v>30</c:v>
                </c:pt>
                <c:pt idx="5">
                  <c:v>31.2</c:v>
                </c:pt>
                <c:pt idx="6">
                  <c:v>32</c:v>
                </c:pt>
                <c:pt idx="7">
                  <c:v>32.6</c:v>
                </c:pt>
                <c:pt idx="8" formatCode="0.0">
                  <c:v>35.395787944807552</c:v>
                </c:pt>
                <c:pt idx="9" formatCode="0.0">
                  <c:v>30.937230663910466</c:v>
                </c:pt>
                <c:pt idx="10" formatCode="####.0">
                  <c:v>38.286615623579586</c:v>
                </c:pt>
                <c:pt idx="11">
                  <c:v>37.300000000000004</c:v>
                </c:pt>
              </c:numCache>
            </c:numRef>
          </c:val>
        </c:ser>
        <c:ser>
          <c:idx val="1"/>
          <c:order val="1"/>
          <c:tx>
            <c:strRef>
              <c:f>Sheet17!$B$17</c:f>
              <c:strCache>
                <c:ptCount val="1"/>
                <c:pt idx="0">
                  <c:v>NO</c:v>
                </c:pt>
              </c:strCache>
            </c:strRef>
          </c:tx>
          <c:dLbls>
            <c:showVal val="1"/>
          </c:dLbls>
          <c:cat>
            <c:strRef>
              <c:f>Sheet17!$C$15:$N$15</c:f>
              <c:strCache>
                <c:ptCount val="12"/>
                <c:pt idx="0">
                  <c:v>Feb ’08</c:v>
                </c:pt>
                <c:pt idx="1">
                  <c:v>Jun ’08</c:v>
                </c:pt>
                <c:pt idx="2">
                  <c:v>Nov ’08</c:v>
                </c:pt>
                <c:pt idx="3">
                  <c:v>Mar ’09</c:v>
                </c:pt>
                <c:pt idx="4">
                  <c:v>Jun ’09</c:v>
                </c:pt>
                <c:pt idx="5">
                  <c:v>Oct '09</c:v>
                </c:pt>
                <c:pt idx="6">
                  <c:v>Jul ’ 10</c:v>
                </c:pt>
                <c:pt idx="7">
                  <c:v>Oct '10</c:v>
                </c:pt>
                <c:pt idx="8">
                  <c:v>Dec '10</c:v>
                </c:pt>
                <c:pt idx="9">
                  <c:v>Sep '11</c:v>
                </c:pt>
                <c:pt idx="10">
                  <c:v>Dec '11</c:v>
                </c:pt>
                <c:pt idx="11">
                  <c:v>Jul '12</c:v>
                </c:pt>
              </c:strCache>
            </c:strRef>
          </c:cat>
          <c:val>
            <c:numRef>
              <c:f>Sheet17!$C$17:$N$17</c:f>
              <c:numCache>
                <c:formatCode>General</c:formatCode>
                <c:ptCount val="12"/>
                <c:pt idx="0">
                  <c:v>44.2</c:v>
                </c:pt>
                <c:pt idx="1">
                  <c:v>46.7</c:v>
                </c:pt>
                <c:pt idx="2">
                  <c:v>46.9</c:v>
                </c:pt>
                <c:pt idx="3">
                  <c:v>45.1</c:v>
                </c:pt>
                <c:pt idx="4">
                  <c:v>43.3</c:v>
                </c:pt>
                <c:pt idx="5">
                  <c:v>44</c:v>
                </c:pt>
                <c:pt idx="6">
                  <c:v>40.1</c:v>
                </c:pt>
                <c:pt idx="7">
                  <c:v>39.700000000000003</c:v>
                </c:pt>
                <c:pt idx="8" formatCode="0.0">
                  <c:v>40.934398450738399</c:v>
                </c:pt>
                <c:pt idx="9" formatCode="0.0">
                  <c:v>39.547991912102923</c:v>
                </c:pt>
                <c:pt idx="10" formatCode="####.0">
                  <c:v>36.10071404218499</c:v>
                </c:pt>
                <c:pt idx="11">
                  <c:v>42.4</c:v>
                </c:pt>
              </c:numCache>
            </c:numRef>
          </c:val>
        </c:ser>
        <c:dLbls>
          <c:showVal val="1"/>
        </c:dLbls>
        <c:marker val="1"/>
        <c:axId val="69504384"/>
        <c:axId val="69522560"/>
      </c:lineChart>
      <c:catAx>
        <c:axId val="69504384"/>
        <c:scaling>
          <c:orientation val="minMax"/>
        </c:scaling>
        <c:axPos val="b"/>
        <c:majorTickMark val="none"/>
        <c:tickLblPos val="nextTo"/>
        <c:crossAx val="69522560"/>
        <c:crosses val="autoZero"/>
        <c:auto val="1"/>
        <c:lblAlgn val="ctr"/>
        <c:lblOffset val="100"/>
      </c:catAx>
      <c:valAx>
        <c:axId val="69522560"/>
        <c:scaling>
          <c:orientation val="minMax"/>
          <c:min val="25"/>
        </c:scaling>
        <c:delete val="1"/>
        <c:axPos val="l"/>
        <c:numFmt formatCode="General" sourceLinked="1"/>
        <c:tickLblPos val="none"/>
        <c:crossAx val="6950438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5"/>
          <c:order val="0"/>
          <c:dLbls>
            <c:showVal val="1"/>
          </c:dLbls>
          <c:cat>
            <c:strRef>
              <c:f>Sheet2!$A$1:$A$16</c:f>
              <c:strCache>
                <c:ptCount val="16"/>
                <c:pt idx="1">
                  <c:v>Government of Montenegro</c:v>
                </c:pt>
                <c:pt idx="2">
                  <c:v>President of Montenegro</c:v>
                </c:pt>
                <c:pt idx="3">
                  <c:v>Parliament of Montenegro</c:v>
                </c:pt>
                <c:pt idx="4">
                  <c:v>Judiciary</c:v>
                </c:pt>
                <c:pt idx="5">
                  <c:v>Police</c:v>
                </c:pt>
                <c:pt idx="6">
                  <c:v>Serbian Orthodox Church</c:v>
                </c:pt>
                <c:pt idx="7">
                  <c:v>Montenegrin Orthodox Church</c:v>
                </c:pt>
                <c:pt idx="8">
                  <c:v>Army of Montenegro </c:v>
                </c:pt>
                <c:pt idx="9">
                  <c:v>Political Parties in Montenegro</c:v>
                </c:pt>
                <c:pt idx="10">
                  <c:v>Health System</c:v>
                </c:pt>
                <c:pt idx="11">
                  <c:v>Educational System</c:v>
                </c:pt>
                <c:pt idx="12">
                  <c:v>European Union</c:v>
                </c:pt>
                <c:pt idx="13">
                  <c:v>NATO</c:v>
                </c:pt>
                <c:pt idx="14">
                  <c:v>Tribune of Hague</c:v>
                </c:pt>
                <c:pt idx="15">
                  <c:v>Civil Society Organisations</c:v>
                </c:pt>
              </c:strCache>
            </c:strRef>
          </c:cat>
          <c:val>
            <c:numRef>
              <c:f>Sheet2!$G$1:$G$16</c:f>
              <c:numCache>
                <c:formatCode>General</c:formatCode>
                <c:ptCount val="16"/>
                <c:pt idx="1">
                  <c:v>46.7</c:v>
                </c:pt>
                <c:pt idx="2">
                  <c:v>48.6</c:v>
                </c:pt>
                <c:pt idx="3">
                  <c:v>36.700000000000003</c:v>
                </c:pt>
                <c:pt idx="4">
                  <c:v>41.8</c:v>
                </c:pt>
                <c:pt idx="5">
                  <c:v>46.3</c:v>
                </c:pt>
                <c:pt idx="6">
                  <c:v>55</c:v>
                </c:pt>
                <c:pt idx="7">
                  <c:v>27.6</c:v>
                </c:pt>
                <c:pt idx="8">
                  <c:v>42.4</c:v>
                </c:pt>
                <c:pt idx="9">
                  <c:v>32.1</c:v>
                </c:pt>
                <c:pt idx="10">
                  <c:v>60</c:v>
                </c:pt>
                <c:pt idx="11">
                  <c:v>59.4</c:v>
                </c:pt>
                <c:pt idx="12">
                  <c:v>49.5</c:v>
                </c:pt>
                <c:pt idx="13">
                  <c:v>33.300000000000004</c:v>
                </c:pt>
                <c:pt idx="14">
                  <c:v>32.5</c:v>
                </c:pt>
                <c:pt idx="15">
                  <c:v>43.400000000000006</c:v>
                </c:pt>
              </c:numCache>
            </c:numRef>
          </c:val>
        </c:ser>
        <c:dLbls>
          <c:showVal val="1"/>
        </c:dLbls>
        <c:overlap val="-25"/>
        <c:axId val="69550848"/>
        <c:axId val="69552384"/>
      </c:barChart>
      <c:catAx>
        <c:axId val="69550848"/>
        <c:scaling>
          <c:orientation val="minMax"/>
        </c:scaling>
        <c:axPos val="l"/>
        <c:majorTickMark val="none"/>
        <c:tickLblPos val="nextTo"/>
        <c:crossAx val="69552384"/>
        <c:crosses val="autoZero"/>
        <c:auto val="1"/>
        <c:lblAlgn val="ctr"/>
        <c:lblOffset val="100"/>
      </c:catAx>
      <c:valAx>
        <c:axId val="69552384"/>
        <c:scaling>
          <c:orientation val="minMax"/>
        </c:scaling>
        <c:delete val="1"/>
        <c:axPos val="b"/>
        <c:numFmt formatCode="General" sourceLinked="1"/>
        <c:tickLblPos val="none"/>
        <c:crossAx val="69550848"/>
        <c:crosses val="autoZero"/>
        <c:crossBetween val="between"/>
      </c:valAx>
    </c:plotArea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Sheet4!$A$4:$A$15</c:f>
              <c:strCache>
                <c:ptCount val="12"/>
                <c:pt idx="0">
                  <c:v>Filip VUJANOVIĆ</c:v>
                </c:pt>
                <c:pt idx="1">
                  <c:v>Milo ĐUKANOVIĆ</c:v>
                </c:pt>
                <c:pt idx="2">
                  <c:v>Igor LUKŠIĆ</c:v>
                </c:pt>
                <c:pt idx="3">
                  <c:v>Ranko KRIVOKAPIĆ</c:v>
                </c:pt>
                <c:pt idx="4">
                  <c:v>Srđan MILIĆ</c:v>
                </c:pt>
                <c:pt idx="5">
                  <c:v>Nebojša MEDOJEVIĆ</c:v>
                </c:pt>
                <c:pt idx="6">
                  <c:v>Andrija MANDIĆ</c:v>
                </c:pt>
                <c:pt idx="7">
                  <c:v>Darko PAJOVIĆ</c:v>
                </c:pt>
                <c:pt idx="8">
                  <c:v>Ferhat DINOŠA</c:v>
                </c:pt>
                <c:pt idx="9">
                  <c:v>Rade BOJOVIĆ</c:v>
                </c:pt>
                <c:pt idx="10">
                  <c:v>Mehmet BARDHI</c:v>
                </c:pt>
                <c:pt idx="11">
                  <c:v>Vasiilj SINIŠTAJ</c:v>
                </c:pt>
              </c:strCache>
            </c:strRef>
          </c:cat>
          <c:val>
            <c:numRef>
              <c:f>Sheet4!$B$4:$B$15</c:f>
              <c:numCache>
                <c:formatCode>0.00</c:formatCode>
                <c:ptCount val="12"/>
                <c:pt idx="0">
                  <c:v>3.3800035749208863</c:v>
                </c:pt>
                <c:pt idx="1">
                  <c:v>2.9602118399664472</c:v>
                </c:pt>
                <c:pt idx="2">
                  <c:v>2.8661113926188677</c:v>
                </c:pt>
                <c:pt idx="3">
                  <c:v>2.6821568835580107</c:v>
                </c:pt>
                <c:pt idx="4">
                  <c:v>2.282743664824638</c:v>
                </c:pt>
                <c:pt idx="5">
                  <c:v>2.2202433726394197</c:v>
                </c:pt>
                <c:pt idx="6">
                  <c:v>2.1913526082569192</c:v>
                </c:pt>
                <c:pt idx="7">
                  <c:v>2.1492237418456095</c:v>
                </c:pt>
                <c:pt idx="8">
                  <c:v>1.8958874925498064</c:v>
                </c:pt>
                <c:pt idx="9">
                  <c:v>1.8817221418234447</c:v>
                </c:pt>
                <c:pt idx="10">
                  <c:v>1.8033582663046275</c:v>
                </c:pt>
                <c:pt idx="11">
                  <c:v>1.6990796423155359</c:v>
                </c:pt>
              </c:numCache>
            </c:numRef>
          </c:val>
        </c:ser>
        <c:dLbls>
          <c:showVal val="1"/>
        </c:dLbls>
        <c:overlap val="-25"/>
        <c:axId val="69596672"/>
        <c:axId val="69598208"/>
      </c:barChart>
      <c:catAx>
        <c:axId val="69596672"/>
        <c:scaling>
          <c:orientation val="minMax"/>
        </c:scaling>
        <c:axPos val="l"/>
        <c:majorTickMark val="none"/>
        <c:tickLblPos val="nextTo"/>
        <c:crossAx val="69598208"/>
        <c:crosses val="autoZero"/>
        <c:auto val="1"/>
        <c:lblAlgn val="ctr"/>
        <c:lblOffset val="100"/>
      </c:catAx>
      <c:valAx>
        <c:axId val="69598208"/>
        <c:scaling>
          <c:orientation val="minMax"/>
        </c:scaling>
        <c:delete val="1"/>
        <c:axPos val="b"/>
        <c:numFmt formatCode="0.00" sourceLinked="1"/>
        <c:tickLblPos val="none"/>
        <c:crossAx val="69596672"/>
        <c:crosses val="autoZero"/>
        <c:crossBetween val="between"/>
      </c:valAx>
    </c:plotArea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Sheet5!$B$4:$B$18</c:f>
              <c:strCache>
                <c:ptCount val="15"/>
                <c:pt idx="0">
                  <c:v>DPS</c:v>
                </c:pt>
                <c:pt idx="1">
                  <c:v>SDP</c:v>
                </c:pt>
                <c:pt idx="2">
                  <c:v>SNP</c:v>
                </c:pt>
                <c:pt idx="3">
                  <c:v>NOVA</c:v>
                </c:pt>
                <c:pt idx="4">
                  <c:v>PZP</c:v>
                </c:pt>
                <c:pt idx="5">
                  <c:v>Positive Montenegro</c:v>
                </c:pt>
                <c:pt idx="6">
                  <c:v>Montenegro of Justice</c:v>
                </c:pt>
                <c:pt idx="7">
                  <c:v>Bosniak Party</c:v>
                </c:pt>
                <c:pt idx="8">
                  <c:v>DUA</c:v>
                </c:pt>
                <c:pt idx="9">
                  <c:v>Albanian Alternative</c:v>
                </c:pt>
                <c:pt idx="10">
                  <c:v>FORCA</c:v>
                </c:pt>
                <c:pt idx="11">
                  <c:v>NS</c:v>
                </c:pt>
                <c:pt idx="12">
                  <c:v>DSS</c:v>
                </c:pt>
                <c:pt idx="13">
                  <c:v>LPCG</c:v>
                </c:pt>
                <c:pt idx="14">
                  <c:v>Serbian Radicals</c:v>
                </c:pt>
              </c:strCache>
            </c:strRef>
          </c:cat>
          <c:val>
            <c:numRef>
              <c:f>Sheet5!$C$4:$C$18</c:f>
              <c:numCache>
                <c:formatCode>0.0</c:formatCode>
                <c:ptCount val="15"/>
                <c:pt idx="0">
                  <c:v>44.310330702640776</c:v>
                </c:pt>
                <c:pt idx="1">
                  <c:v>7.7541713318222643</c:v>
                </c:pt>
                <c:pt idx="2">
                  <c:v>16.619787541986387</c:v>
                </c:pt>
                <c:pt idx="3">
                  <c:v>8.5024167781752542</c:v>
                </c:pt>
                <c:pt idx="4">
                  <c:v>7.8634042436986089</c:v>
                </c:pt>
                <c:pt idx="5">
                  <c:v>7.4756274065375798</c:v>
                </c:pt>
                <c:pt idx="6">
                  <c:v>1.7258800076463012</c:v>
                </c:pt>
                <c:pt idx="7">
                  <c:v>1.8596903246948282</c:v>
                </c:pt>
                <c:pt idx="8">
                  <c:v>1.1769846254676517</c:v>
                </c:pt>
                <c:pt idx="9">
                  <c:v>0.32496791283213594</c:v>
                </c:pt>
                <c:pt idx="10">
                  <c:v>0.54070291378792357</c:v>
                </c:pt>
                <c:pt idx="11">
                  <c:v>0.20344629836969863</c:v>
                </c:pt>
                <c:pt idx="12">
                  <c:v>0.37685354597340137</c:v>
                </c:pt>
                <c:pt idx="13">
                  <c:v>0.73868756656380485</c:v>
                </c:pt>
                <c:pt idx="14">
                  <c:v>0.52704879980338004</c:v>
                </c:pt>
              </c:numCache>
            </c:numRef>
          </c:val>
        </c:ser>
        <c:dLbls>
          <c:showVal val="1"/>
        </c:dLbls>
        <c:overlap val="-25"/>
        <c:axId val="70805760"/>
        <c:axId val="70840320"/>
      </c:barChart>
      <c:catAx>
        <c:axId val="70805760"/>
        <c:scaling>
          <c:orientation val="minMax"/>
        </c:scaling>
        <c:axPos val="l"/>
        <c:majorTickMark val="none"/>
        <c:tickLblPos val="nextTo"/>
        <c:crossAx val="70840320"/>
        <c:crosses val="autoZero"/>
        <c:auto val="1"/>
        <c:lblAlgn val="ctr"/>
        <c:lblOffset val="100"/>
      </c:catAx>
      <c:valAx>
        <c:axId val="70840320"/>
        <c:scaling>
          <c:orientation val="minMax"/>
        </c:scaling>
        <c:delete val="1"/>
        <c:axPos val="b"/>
        <c:numFmt formatCode="0.0" sourceLinked="1"/>
        <c:tickLblPos val="none"/>
        <c:crossAx val="70805760"/>
        <c:crosses val="autoZero"/>
        <c:crossBetween val="between"/>
      </c:valAx>
    </c:plotArea>
    <c:plotVisOnly val="1"/>
    <c:dispBlanksAs val="gap"/>
  </c:chart>
  <c:externalData r:id="rId2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2C48D3FBE64E3CB353865BB04E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E2BCA-E02F-45B2-89D5-9899EFCE7655}"/>
      </w:docPartPr>
      <w:docPartBody>
        <w:p w:rsidR="002D560E" w:rsidRDefault="0078698F" w:rsidP="0078698F">
          <w:pPr>
            <w:pStyle w:val="892C48D3FBE64E3CB353865BB04E4C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8698F"/>
    <w:rsid w:val="002D560E"/>
    <w:rsid w:val="004A6C5F"/>
    <w:rsid w:val="0078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2C48D3FBE64E3CB353865BB04E4C72">
    <w:name w:val="892C48D3FBE64E3CB353865BB04E4C72"/>
    <w:rsid w:val="007869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Public Opinion, July 2012</vt:lpstr>
    </vt:vector>
  </TitlesOfParts>
  <Company>Grizli777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Public Opinion, July 2012</dc:title>
  <dc:creator>Dzena</dc:creator>
  <cp:lastModifiedBy>Emix</cp:lastModifiedBy>
  <cp:revision>2</cp:revision>
  <dcterms:created xsi:type="dcterms:W3CDTF">2012-07-12T13:12:00Z</dcterms:created>
  <dcterms:modified xsi:type="dcterms:W3CDTF">2012-07-12T13:12:00Z</dcterms:modified>
</cp:coreProperties>
</file>